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6F875CA4" w:rsidR="00AF69C8" w:rsidRPr="00AB421C" w:rsidRDefault="2CC8BABD" w:rsidP="00AB421C">
      <w:pPr>
        <w:pStyle w:val="Kop3"/>
        <w:ind w:left="0" w:firstLine="0"/>
        <w:rPr>
          <w:rStyle w:val="Referentie"/>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AB421C">
        <w:rPr>
          <w:lang w:val="fr-FR"/>
        </w:rPr>
        <w:t xml:space="preserve">Aérateur à clapet à </w:t>
      </w:r>
      <w:proofErr w:type="spellStart"/>
      <w:r w:rsidRPr="00AB421C">
        <w:rPr>
          <w:lang w:val="fr-FR"/>
        </w:rPr>
        <w:t>regulation</w:t>
      </w:r>
      <w:proofErr w:type="spellEnd"/>
      <w:r w:rsidRPr="00AB421C">
        <w:rPr>
          <w:lang w:val="fr-FR"/>
        </w:rPr>
        <w:t xml:space="preserve"> électronique</w:t>
      </w:r>
      <w:r w:rsidRPr="00AB421C">
        <w:rPr>
          <w:rStyle w:val="MeetChar"/>
          <w:lang w:val="fr-FR"/>
        </w:rPr>
        <w:t xml:space="preserve"> VH mm</w:t>
      </w:r>
      <w:bookmarkEnd w:id="0"/>
      <w:bookmarkEnd w:id="1"/>
      <w:bookmarkEnd w:id="2"/>
      <w:bookmarkEnd w:id="3"/>
      <w:bookmarkEnd w:id="4"/>
      <w:bookmarkEnd w:id="5"/>
      <w:r w:rsidRPr="00AB421C">
        <w:rPr>
          <w:rStyle w:val="MerkChar"/>
          <w:lang w:val="fr-FR"/>
        </w:rPr>
        <w:t xml:space="preserve"> </w:t>
      </w:r>
      <w:r w:rsidRPr="00AB421C">
        <w:rPr>
          <w:rStyle w:val="Referentie"/>
          <w:lang w:val="fr-FR"/>
        </w:rPr>
        <w:t xml:space="preserve"> DUCO 'Ventilation &amp; Sun Control' </w:t>
      </w:r>
      <w:proofErr w:type="spellStart"/>
      <w:r w:rsidRPr="00AB421C">
        <w:rPr>
          <w:rStyle w:val="Referentie"/>
          <w:lang w:val="fr-FR"/>
        </w:rPr>
        <w:t>TronicSkyVent</w:t>
      </w:r>
      <w:proofErr w:type="spellEnd"/>
      <w:r w:rsidRPr="00AB421C">
        <w:rPr>
          <w:rStyle w:val="Referentie"/>
          <w:lang w:val="fr-FR"/>
        </w:rPr>
        <w:t xml:space="preserve"> BE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B421C">
        <w:rPr>
          <w:rStyle w:val="Referentie"/>
          <w:lang w:val="fr-FR"/>
        </w:rPr>
        <w:t xml:space="preserve"> </w:t>
      </w:r>
      <w:r w:rsidR="00216B57">
        <w:rPr>
          <w:rStyle w:val="Referentie"/>
          <w:lang w:val="fr-FR"/>
        </w:rPr>
        <w:t>(</w:t>
      </w:r>
      <w:r w:rsidR="00AB421C">
        <w:rPr>
          <w:rStyle w:val="Referentie"/>
          <w:lang w:val="fr-FR"/>
        </w:rPr>
        <w:t>AK+)</w:t>
      </w:r>
    </w:p>
    <w:p w14:paraId="248F7AB3" w14:textId="77777777" w:rsidR="00AF69C8" w:rsidRPr="00AB421C" w:rsidRDefault="00F732FD">
      <w:pPr>
        <w:pStyle w:val="Kop5"/>
        <w:rPr>
          <w:lang w:val="fr-FR"/>
        </w:rPr>
      </w:pPr>
      <w:r w:rsidRPr="00AB421C">
        <w:rPr>
          <w:lang w:val="fr-FR"/>
        </w:rPr>
        <w:t>Description</w:t>
      </w:r>
    </w:p>
    <w:p w14:paraId="01827739" w14:textId="2FAA5AB2" w:rsidR="00AF69C8" w:rsidRPr="00AB421C" w:rsidRDefault="005404ED">
      <w:pPr>
        <w:rPr>
          <w:lang w:val="fr-FR"/>
        </w:rPr>
      </w:pPr>
      <w:r>
        <w:rPr>
          <w:lang w:val="fr-FR"/>
        </w:rPr>
        <w:t xml:space="preserve">Le </w:t>
      </w:r>
      <w:proofErr w:type="spellStart"/>
      <w:r w:rsidRPr="00216B57">
        <w:rPr>
          <w:rStyle w:val="MerkChar"/>
          <w:lang w:val="fr-FR"/>
        </w:rPr>
        <w:t>TronicSkyVent</w:t>
      </w:r>
      <w:proofErr w:type="spellEnd"/>
      <w:r w:rsidRPr="00216B57">
        <w:rPr>
          <w:rStyle w:val="MerkChar"/>
          <w:lang w:val="fr-FR"/>
        </w:rPr>
        <w:t xml:space="preserve"> BE</w:t>
      </w:r>
      <w:r>
        <w:rPr>
          <w:lang w:val="fr-FR"/>
        </w:rPr>
        <w:t xml:space="preserve"> est une g</w:t>
      </w:r>
      <w:r w:rsidR="2CC8BABD" w:rsidRPr="2CC8BABD">
        <w:rPr>
          <w:lang w:val="fr-FR"/>
        </w:rPr>
        <w:t>rille d'aération autorégulatrice en aluminium, isolée thermiquement, avec un clapet d'aération intégré de série, munie d'un profil extérieur en aluminium pour une résistance maximale au vent et à l'eau, à monter sur la fenêtre et avec commande électronique (classe P3). Placement discret, permettant de les placer à la vue de tous.</w:t>
      </w:r>
    </w:p>
    <w:p w14:paraId="69F9A406" w14:textId="77777777" w:rsidR="00AF69C8" w:rsidRPr="00AB421C" w:rsidRDefault="00AF69C8">
      <w:pPr>
        <w:rPr>
          <w:lang w:val="fr-FR"/>
        </w:rPr>
      </w:pPr>
    </w:p>
    <w:p w14:paraId="052485ED" w14:textId="77777777" w:rsidR="00AF69C8" w:rsidRDefault="00F732FD">
      <w:pPr>
        <w:pStyle w:val="Kop5"/>
      </w:pPr>
      <w:r>
        <w:t>Montage</w:t>
      </w:r>
    </w:p>
    <w:p w14:paraId="5CC2C2AF" w14:textId="77777777" w:rsidR="00AF69C8" w:rsidRPr="00AB421C" w:rsidRDefault="2CC8BABD">
      <w:pPr>
        <w:pStyle w:val="Lijstalinea"/>
        <w:numPr>
          <w:ilvl w:val="0"/>
          <w:numId w:val="3"/>
        </w:numPr>
        <w:rPr>
          <w:lang w:val="fr-FR"/>
        </w:rPr>
      </w:pPr>
      <w:r w:rsidRPr="00AB421C">
        <w:rPr>
          <w:lang w:val="fr-FR"/>
        </w:rPr>
        <w:t>Convient tout particulièrement à l'installation sur des fenêtres en bois, en plastique, en aluminium ou en acier derrière la dalle / brique de parement. Par conséquent, il n'y a pas de perte de vue à travers la vitre.</w:t>
      </w:r>
    </w:p>
    <w:p w14:paraId="36B3A22B" w14:textId="7DEE7047" w:rsidR="00AF69C8" w:rsidRDefault="2CC8BABD">
      <w:pPr>
        <w:pStyle w:val="Lijstalinea"/>
        <w:numPr>
          <w:ilvl w:val="0"/>
          <w:numId w:val="3"/>
        </w:numPr>
      </w:pPr>
      <w:r w:rsidRPr="00AB421C">
        <w:rPr>
          <w:lang w:val="fr-FR"/>
        </w:rPr>
        <w:t xml:space="preserve">L'aérateur compact et solide/robuste, en une seule pièce, est vissée sur la fenêtre tous les 250 mm à travers la bande en PVC transparent fournie et des pièces de couplage internes. </w:t>
      </w:r>
      <w:r w:rsidRPr="2CC8BABD">
        <w:rPr>
          <w:lang w:val="en-US"/>
        </w:rPr>
        <w:t xml:space="preserve">Les vis </w:t>
      </w:r>
      <w:proofErr w:type="spellStart"/>
      <w:r w:rsidRPr="2CC8BABD">
        <w:rPr>
          <w:lang w:val="en-US"/>
        </w:rPr>
        <w:t>sont</w:t>
      </w:r>
      <w:proofErr w:type="spellEnd"/>
      <w:r w:rsidRPr="2CC8BABD">
        <w:rPr>
          <w:lang w:val="en-US"/>
        </w:rPr>
        <w:t xml:space="preserve"> </w:t>
      </w:r>
      <w:proofErr w:type="spellStart"/>
      <w:r w:rsidRPr="2CC8BABD">
        <w:rPr>
          <w:lang w:val="en-US"/>
        </w:rPr>
        <w:t>fournies</w:t>
      </w:r>
      <w:proofErr w:type="spellEnd"/>
      <w:r w:rsidRPr="2CC8BABD">
        <w:rPr>
          <w:lang w:val="en-US"/>
        </w:rPr>
        <w:t xml:space="preserve"> par le fabricant.</w:t>
      </w:r>
    </w:p>
    <w:p w14:paraId="2461295C" w14:textId="3F5643F6" w:rsidR="00AF69C8" w:rsidRPr="00AB421C" w:rsidRDefault="2CC8BABD">
      <w:pPr>
        <w:pStyle w:val="Lijstalinea"/>
        <w:numPr>
          <w:ilvl w:val="0"/>
          <w:numId w:val="3"/>
        </w:numPr>
        <w:rPr>
          <w:lang w:val="fr-FR"/>
        </w:rPr>
      </w:pPr>
      <w:r w:rsidRPr="00AB421C">
        <w:rPr>
          <w:lang w:val="fr-FR"/>
        </w:rPr>
        <w:t>Installation très rapide et facile et excellente résistance et rigidité garanties.</w:t>
      </w:r>
    </w:p>
    <w:p w14:paraId="3E7C6AD1" w14:textId="3D6DE578" w:rsidR="00AF69C8" w:rsidRPr="00AB421C" w:rsidRDefault="2CC8BABD">
      <w:pPr>
        <w:pStyle w:val="Lijstalinea"/>
        <w:numPr>
          <w:ilvl w:val="0"/>
          <w:numId w:val="3"/>
        </w:numPr>
        <w:rPr>
          <w:lang w:val="fr-FR"/>
        </w:rPr>
      </w:pPr>
      <w:r w:rsidRPr="00AB421C">
        <w:rPr>
          <w:lang w:val="fr-FR"/>
        </w:rPr>
        <w:t>L'aérateur doit être fixé avec des ancrages vers la structure du bâtiment située au-dessus. Pour ce faire, le profilé d'ancrage présent en standard permet une fixation rapide. Des goupilles en acier sont également fournies par le fabricant. La construction doit être conforme aux règles de construction requises.</w:t>
      </w:r>
    </w:p>
    <w:p w14:paraId="461A96D6" w14:textId="77777777" w:rsidR="00AF69C8" w:rsidRPr="00AB421C" w:rsidRDefault="2CC8BABD">
      <w:pPr>
        <w:pStyle w:val="Lijstalinea"/>
        <w:numPr>
          <w:ilvl w:val="0"/>
          <w:numId w:val="3"/>
        </w:numPr>
        <w:rPr>
          <w:lang w:val="fr-FR"/>
        </w:rPr>
      </w:pPr>
      <w:r w:rsidRPr="00AB421C">
        <w:rPr>
          <w:lang w:val="fr-FR"/>
        </w:rPr>
        <w:t xml:space="preserve">Des finitions intérieures peuvent être réalisées en haut dans le profil de finition. Différentes finitions (MDF, plâtre ou PVC) peuvent y être appliquées. </w:t>
      </w:r>
    </w:p>
    <w:p w14:paraId="3C221D39" w14:textId="5E7F9FE7" w:rsidR="00AF69C8" w:rsidRPr="00AB421C" w:rsidRDefault="2CC8BABD" w:rsidP="2CC8BABD">
      <w:pPr>
        <w:pStyle w:val="P68B1DB1-Lijstalinea1"/>
        <w:numPr>
          <w:ilvl w:val="0"/>
          <w:numId w:val="3"/>
        </w:numPr>
        <w:rPr>
          <w:lang w:val="fr-FR"/>
        </w:rPr>
      </w:pPr>
      <w:r w:rsidRPr="00AB421C">
        <w:rPr>
          <w:lang w:val="fr-FR"/>
        </w:rPr>
        <w:t>Suivez toujours les instructions de montage du fabricant.</w:t>
      </w:r>
    </w:p>
    <w:p w14:paraId="03C7E263" w14:textId="77777777" w:rsidR="00AF69C8" w:rsidRPr="00AB421C" w:rsidRDefault="00AF69C8">
      <w:pPr>
        <w:rPr>
          <w:lang w:val="fr-FR"/>
        </w:rPr>
      </w:pPr>
    </w:p>
    <w:p w14:paraId="264498CD" w14:textId="77777777" w:rsidR="00AF69C8" w:rsidRDefault="2CC8BABD" w:rsidP="2CC8BABD">
      <w:pPr>
        <w:pStyle w:val="Kop5"/>
        <w:rPr>
          <w:lang w:val="en-US"/>
        </w:rPr>
      </w:pPr>
      <w:proofErr w:type="spellStart"/>
      <w:r w:rsidRPr="2CC8BABD">
        <w:rPr>
          <w:lang w:val="en-US"/>
        </w:rPr>
        <w:t>Clapet</w:t>
      </w:r>
      <w:proofErr w:type="spellEnd"/>
      <w:r w:rsidRPr="2CC8BABD">
        <w:rPr>
          <w:lang w:val="en-US"/>
        </w:rPr>
        <w:t xml:space="preserve"> </w:t>
      </w:r>
      <w:proofErr w:type="spellStart"/>
      <w:r w:rsidRPr="2CC8BABD">
        <w:rPr>
          <w:lang w:val="en-US"/>
        </w:rPr>
        <w:t>autoréglable</w:t>
      </w:r>
      <w:proofErr w:type="spellEnd"/>
    </w:p>
    <w:p w14:paraId="09A39120" w14:textId="77777777" w:rsidR="00AF69C8" w:rsidRPr="00AB421C" w:rsidRDefault="2CC8BABD">
      <w:pPr>
        <w:pStyle w:val="Lijstalinea"/>
        <w:numPr>
          <w:ilvl w:val="0"/>
          <w:numId w:val="4"/>
        </w:numPr>
        <w:rPr>
          <w:lang w:val="fr-FR"/>
        </w:rPr>
      </w:pPr>
      <w:r w:rsidRPr="00AB421C">
        <w:rPr>
          <w:lang w:val="fr-FR"/>
        </w:rPr>
        <w:t>Le fonctionnement du clapet autoréglable présent en standard fonctionne mécaniquement, ce qui assure des économies d'énergie et un débit constant.</w:t>
      </w:r>
    </w:p>
    <w:p w14:paraId="63033803" w14:textId="337BCC24" w:rsidR="00AF69C8" w:rsidRPr="00AB421C" w:rsidRDefault="2CC8BABD">
      <w:pPr>
        <w:pStyle w:val="Lijstalinea"/>
        <w:ind w:left="360"/>
        <w:rPr>
          <w:lang w:val="fr-FR"/>
        </w:rPr>
      </w:pPr>
      <w:r w:rsidRPr="00AB421C">
        <w:rPr>
          <w:lang w:val="fr-FR"/>
        </w:rPr>
        <w:t>Le clapet autoréglable veille à ce que le volume de ventilation reste le même lorsque le vent augmente, c'est-à-dire que l'augmentation du vent est atténuée.</w:t>
      </w:r>
    </w:p>
    <w:p w14:paraId="0D88BE8F" w14:textId="7360A4AD" w:rsidR="00AF69C8" w:rsidRPr="00AB421C" w:rsidRDefault="2CC8BABD">
      <w:pPr>
        <w:pStyle w:val="Lijstalinea"/>
        <w:numPr>
          <w:ilvl w:val="0"/>
          <w:numId w:val="4"/>
        </w:numPr>
        <w:rPr>
          <w:lang w:val="fr-FR"/>
        </w:rPr>
      </w:pPr>
      <w:r w:rsidRPr="00AB421C">
        <w:rPr>
          <w:lang w:val="fr-FR"/>
        </w:rPr>
        <w:t xml:space="preserve">Le clapet autoréglable réagit parfaitement à des différences de pression à partir de 2 Pa, évitant ainsi les courants d'air et limitant les pertes d'énergie et la </w:t>
      </w:r>
      <w:proofErr w:type="spellStart"/>
      <w:r w:rsidRPr="00AB421C">
        <w:rPr>
          <w:lang w:val="fr-FR"/>
        </w:rPr>
        <w:t>surventilation</w:t>
      </w:r>
      <w:proofErr w:type="spellEnd"/>
      <w:r w:rsidRPr="00AB421C">
        <w:rPr>
          <w:lang w:val="fr-FR"/>
        </w:rPr>
        <w:t>.</w:t>
      </w:r>
    </w:p>
    <w:p w14:paraId="520323E7" w14:textId="77777777" w:rsidR="00AF69C8" w:rsidRPr="00AB421C" w:rsidRDefault="00AF69C8">
      <w:pPr>
        <w:rPr>
          <w:lang w:val="fr-FR"/>
        </w:rPr>
      </w:pPr>
    </w:p>
    <w:p w14:paraId="5D853859" w14:textId="77777777" w:rsidR="00AF69C8" w:rsidRDefault="2CC8BABD" w:rsidP="2CC8BABD">
      <w:pPr>
        <w:pStyle w:val="P68B1DB1-Standaard2"/>
        <w:rPr>
          <w:bCs/>
          <w:lang w:val="en-US"/>
        </w:rPr>
      </w:pPr>
      <w:proofErr w:type="spellStart"/>
      <w:r w:rsidRPr="2CC8BABD">
        <w:rPr>
          <w:lang w:val="en-US"/>
        </w:rPr>
        <w:t>Spécifications</w:t>
      </w:r>
      <w:proofErr w:type="spellEnd"/>
      <w:r w:rsidRPr="2CC8BABD">
        <w:rPr>
          <w:lang w:val="en-US"/>
        </w:rPr>
        <w:t xml:space="preserve"> de </w:t>
      </w:r>
      <w:proofErr w:type="spellStart"/>
      <w:r w:rsidRPr="2CC8BABD">
        <w:rPr>
          <w:lang w:val="en-US"/>
        </w:rPr>
        <w:t>l'aérateur</w:t>
      </w:r>
      <w:proofErr w:type="spellEnd"/>
    </w:p>
    <w:p w14:paraId="66DE6F32" w14:textId="7161CD05" w:rsidR="00AF69C8" w:rsidRPr="00AB421C" w:rsidRDefault="2CC8BABD">
      <w:pPr>
        <w:pStyle w:val="Lijstalinea"/>
        <w:numPr>
          <w:ilvl w:val="0"/>
          <w:numId w:val="5"/>
        </w:numPr>
        <w:rPr>
          <w:lang w:val="fr-FR"/>
        </w:rPr>
      </w:pPr>
      <w:r w:rsidRPr="00AB421C">
        <w:rPr>
          <w:lang w:val="fr-FR"/>
        </w:rPr>
        <w:t>3 profondeurs d'installation fixes (</w:t>
      </w:r>
      <w:r w:rsidRPr="00255660">
        <w:rPr>
          <w:rStyle w:val="MerkChar"/>
          <w:lang w:val="fr-FR"/>
        </w:rPr>
        <w:t>Medio / Alto / Largo</w:t>
      </w:r>
      <w:r w:rsidRPr="00AB421C">
        <w:rPr>
          <w:lang w:val="fr-FR"/>
        </w:rPr>
        <w:t>) assurent une adaptation parfaite au profil de la fenêtre.</w:t>
      </w:r>
    </w:p>
    <w:p w14:paraId="7E5CCF57" w14:textId="229201C7" w:rsidR="00AF69C8" w:rsidRPr="00AB421C" w:rsidRDefault="2CC8BABD">
      <w:pPr>
        <w:pStyle w:val="Lijstalinea"/>
        <w:numPr>
          <w:ilvl w:val="0"/>
          <w:numId w:val="5"/>
        </w:numPr>
        <w:rPr>
          <w:lang w:val="fr-FR"/>
        </w:rPr>
      </w:pPr>
      <w:r w:rsidRPr="00AB421C">
        <w:rPr>
          <w:lang w:val="fr-FR"/>
        </w:rPr>
        <w:t>Le clapet intérieur en aluminium assure une étanchéité au vent et à l'eau très élevée et performante.</w:t>
      </w:r>
    </w:p>
    <w:p w14:paraId="498B3850" w14:textId="77777777" w:rsidR="00AF69C8" w:rsidRPr="00AB421C" w:rsidRDefault="2CC8BABD">
      <w:pPr>
        <w:pStyle w:val="Lijstalinea"/>
        <w:numPr>
          <w:ilvl w:val="0"/>
          <w:numId w:val="5"/>
        </w:numPr>
        <w:rPr>
          <w:lang w:val="fr-FR"/>
        </w:rPr>
      </w:pPr>
      <w:r w:rsidRPr="00AB421C">
        <w:rPr>
          <w:lang w:val="fr-FR"/>
        </w:rPr>
        <w:t>Le profil intérieur avec perforation invisible est facilement amovible, lavable et résistant aux insectes.</w:t>
      </w:r>
    </w:p>
    <w:p w14:paraId="7CFC2AB4" w14:textId="13512C4A" w:rsidR="00AF69C8" w:rsidRPr="00AB421C" w:rsidRDefault="2CC8BABD">
      <w:pPr>
        <w:pStyle w:val="Lijstalinea"/>
        <w:numPr>
          <w:ilvl w:val="0"/>
          <w:numId w:val="5"/>
        </w:numPr>
        <w:rPr>
          <w:lang w:val="fr-FR"/>
        </w:rPr>
      </w:pPr>
      <w:r w:rsidRPr="00AB421C">
        <w:rPr>
          <w:lang w:val="fr-FR"/>
        </w:rPr>
        <w:t xml:space="preserve">La grille intérieure esthétique assure un flux d'air ascendant et un climat intérieur confortable (effet </w:t>
      </w:r>
      <w:proofErr w:type="spellStart"/>
      <w:r w:rsidRPr="00AB421C">
        <w:rPr>
          <w:lang w:val="fr-FR"/>
        </w:rPr>
        <w:t>Coanda</w:t>
      </w:r>
      <w:proofErr w:type="spellEnd"/>
      <w:r w:rsidRPr="00AB421C">
        <w:rPr>
          <w:lang w:val="fr-FR"/>
        </w:rPr>
        <w:t>).</w:t>
      </w:r>
    </w:p>
    <w:p w14:paraId="70FF2CD4" w14:textId="77777777" w:rsidR="00AF69C8" w:rsidRPr="00AB421C" w:rsidRDefault="2CC8BABD" w:rsidP="2CC8BABD">
      <w:pPr>
        <w:pStyle w:val="P68B1DB1-Lijstalinea1"/>
        <w:numPr>
          <w:ilvl w:val="0"/>
          <w:numId w:val="5"/>
        </w:numPr>
        <w:rPr>
          <w:lang w:val="fr-FR"/>
        </w:rPr>
      </w:pPr>
      <w:r w:rsidRPr="00AB421C">
        <w:rPr>
          <w:lang w:val="fr-FR"/>
        </w:rPr>
        <w:t>L'unité de commande interne et invisible règle le clapet de ventilation dans différentes positions. Cette unité de commande est installée ultérieurement par l'installateur/électricien.</w:t>
      </w:r>
    </w:p>
    <w:p w14:paraId="0F77D294" w14:textId="6A1A893B" w:rsidR="00AF69C8" w:rsidRPr="00AB421C" w:rsidRDefault="2CC8BABD" w:rsidP="2CC8BABD">
      <w:pPr>
        <w:pStyle w:val="P68B1DB1-Lijstalinea1"/>
        <w:numPr>
          <w:ilvl w:val="0"/>
          <w:numId w:val="5"/>
        </w:numPr>
        <w:rPr>
          <w:lang w:val="fr-FR"/>
        </w:rPr>
      </w:pPr>
      <w:r w:rsidRPr="00AB421C">
        <w:rPr>
          <w:lang w:val="fr-FR"/>
        </w:rPr>
        <w:t>Un profil de remplissage optionnel, pour une finition intérieure alternative, est disponible dans n'importe quelle couleur RAL.</w:t>
      </w:r>
    </w:p>
    <w:p w14:paraId="151C97F9" w14:textId="77777777" w:rsidR="00AF69C8" w:rsidRPr="00AB421C" w:rsidRDefault="2CC8BABD" w:rsidP="2CC8BABD">
      <w:pPr>
        <w:pStyle w:val="P68B1DB1-Lijstalinea1"/>
        <w:numPr>
          <w:ilvl w:val="0"/>
          <w:numId w:val="5"/>
        </w:numPr>
        <w:rPr>
          <w:lang w:val="fr-FR"/>
        </w:rPr>
      </w:pPr>
      <w:r w:rsidRPr="00AB421C">
        <w:rPr>
          <w:lang w:val="fr-FR"/>
        </w:rPr>
        <w:t xml:space="preserve">Pour éviter que le pont thermique ne soit visible, un profilé inférieur allongé est automatiquement fourni avec le modèle Alto lorsqu'il est posé sur une fenêtre d'une épaisseur de 60 mm à 110 </w:t>
      </w:r>
      <w:proofErr w:type="spellStart"/>
      <w:r w:rsidRPr="00AB421C">
        <w:rPr>
          <w:lang w:val="fr-FR"/>
        </w:rPr>
        <w:t>mm.</w:t>
      </w:r>
      <w:proofErr w:type="spellEnd"/>
      <w:r w:rsidRPr="00AB421C">
        <w:rPr>
          <w:lang w:val="fr-FR"/>
        </w:rPr>
        <w:t xml:space="preserve"> Pour le modèle </w:t>
      </w:r>
      <w:r w:rsidRPr="001427D9">
        <w:rPr>
          <w:rStyle w:val="MerkChar"/>
          <w:rFonts w:eastAsia="Times New Roman"/>
          <w:lang w:val="fr-FR"/>
        </w:rPr>
        <w:t>Largo</w:t>
      </w:r>
      <w:r w:rsidRPr="00AB421C">
        <w:rPr>
          <w:lang w:val="fr-FR"/>
        </w:rPr>
        <w:t xml:space="preserve">, c'est le cas pour une épaisseur de 60 mm à 160 </w:t>
      </w:r>
      <w:proofErr w:type="spellStart"/>
      <w:r w:rsidRPr="00AB421C">
        <w:rPr>
          <w:lang w:val="fr-FR"/>
        </w:rPr>
        <w:t>mm.</w:t>
      </w:r>
      <w:proofErr w:type="spellEnd"/>
    </w:p>
    <w:p w14:paraId="6BC76C65" w14:textId="77777777" w:rsidR="00AF69C8" w:rsidRPr="00AB421C" w:rsidRDefault="00AF69C8">
      <w:pPr>
        <w:rPr>
          <w:rFonts w:eastAsia="MS Mincho"/>
          <w:lang w:val="fr-FR"/>
        </w:rPr>
      </w:pPr>
    </w:p>
    <w:p w14:paraId="5C964319" w14:textId="77777777" w:rsidR="00AF69C8" w:rsidRDefault="2CC8BABD" w:rsidP="2CC8BABD">
      <w:pPr>
        <w:pStyle w:val="P68B1DB1-Standaard3"/>
        <w:rPr>
          <w:bCs/>
          <w:lang w:val="en-US"/>
        </w:rPr>
      </w:pPr>
      <w:proofErr w:type="spellStart"/>
      <w:r w:rsidRPr="2CC8BABD">
        <w:rPr>
          <w:lang w:val="en-US"/>
        </w:rPr>
        <w:t>Atténuation</w:t>
      </w:r>
      <w:proofErr w:type="spellEnd"/>
      <w:r w:rsidRPr="2CC8BABD">
        <w:rPr>
          <w:lang w:val="en-US"/>
        </w:rPr>
        <w:t xml:space="preserve"> </w:t>
      </w:r>
      <w:proofErr w:type="spellStart"/>
      <w:r w:rsidRPr="2CC8BABD">
        <w:rPr>
          <w:lang w:val="en-US"/>
        </w:rPr>
        <w:t>acoustique</w:t>
      </w:r>
      <w:proofErr w:type="spellEnd"/>
    </w:p>
    <w:p w14:paraId="05390269" w14:textId="72C1BF0A" w:rsidR="00AF69C8" w:rsidRPr="00AB421C" w:rsidRDefault="2CC8BABD" w:rsidP="2CC8BABD">
      <w:pPr>
        <w:pStyle w:val="Lijstalinea"/>
        <w:numPr>
          <w:ilvl w:val="0"/>
          <w:numId w:val="6"/>
        </w:numPr>
        <w:rPr>
          <w:rFonts w:eastAsia="MS Mincho"/>
          <w:lang w:val="fr-FR"/>
        </w:rPr>
      </w:pPr>
      <w:r w:rsidRPr="00AB421C">
        <w:rPr>
          <w:lang w:val="fr-FR"/>
        </w:rPr>
        <w:t xml:space="preserve">Mousse amortissante </w:t>
      </w:r>
      <w:r w:rsidRPr="00255660">
        <w:rPr>
          <w:rStyle w:val="MerkChar"/>
          <w:lang w:val="fr-FR"/>
        </w:rPr>
        <w:t>AK(+)</w:t>
      </w:r>
      <w:r w:rsidRPr="00AB421C">
        <w:rPr>
          <w:lang w:val="fr-FR"/>
        </w:rPr>
        <w:t xml:space="preserve"> : mousse acoustique 34 kg/m³</w:t>
      </w:r>
    </w:p>
    <w:p w14:paraId="771E292B" w14:textId="77777777" w:rsidR="00AF69C8" w:rsidRPr="00AB421C" w:rsidRDefault="2CC8BABD">
      <w:pPr>
        <w:pStyle w:val="Lijstalinea"/>
        <w:numPr>
          <w:ilvl w:val="0"/>
          <w:numId w:val="6"/>
        </w:numPr>
        <w:rPr>
          <w:lang w:val="fr-FR"/>
        </w:rPr>
      </w:pPr>
      <w:r w:rsidRPr="00AB421C">
        <w:rPr>
          <w:lang w:val="fr-FR"/>
        </w:rPr>
        <w:t>Le matériau acoustique standard est déjà présent dans l'aérateur et dans le profil intérieur, de sorte qu'aucun module acoustique supplémentaire ne doit être monté.</w:t>
      </w:r>
    </w:p>
    <w:p w14:paraId="5B1E4B35" w14:textId="77777777" w:rsidR="00AF69C8" w:rsidRPr="00AB421C" w:rsidRDefault="2CC8BABD" w:rsidP="2CC8BABD">
      <w:pPr>
        <w:pStyle w:val="P68B1DB1-Lijstalinea1"/>
        <w:numPr>
          <w:ilvl w:val="0"/>
          <w:numId w:val="6"/>
        </w:numPr>
        <w:rPr>
          <w:lang w:val="fr-FR"/>
        </w:rPr>
      </w:pPr>
      <w:r w:rsidRPr="00AB421C">
        <w:rPr>
          <w:lang w:val="fr-FR"/>
        </w:rPr>
        <w:t>En option, un matériau acoustique supplémentaire peut être appliqué en cas de forte exposition au bruit (</w:t>
      </w:r>
      <w:r w:rsidRPr="001A7E7D">
        <w:rPr>
          <w:rStyle w:val="MerkChar"/>
          <w:rFonts w:eastAsia="Times New Roman"/>
          <w:lang w:val="fr-FR"/>
        </w:rPr>
        <w:t>AK+</w:t>
      </w:r>
      <w:r w:rsidRPr="00AB421C">
        <w:rPr>
          <w:lang w:val="fr-FR"/>
        </w:rPr>
        <w:t>).</w:t>
      </w:r>
    </w:p>
    <w:p w14:paraId="3438225F" w14:textId="77777777" w:rsidR="00AF69C8" w:rsidRPr="00AB421C" w:rsidRDefault="00AF69C8">
      <w:pPr>
        <w:rPr>
          <w:rFonts w:eastAsia="MS Mincho"/>
          <w:lang w:val="fr-FR"/>
        </w:rPr>
      </w:pPr>
    </w:p>
    <w:p w14:paraId="688B627D" w14:textId="77777777" w:rsidR="00AF69C8" w:rsidRPr="00AB421C" w:rsidRDefault="00F732FD">
      <w:pPr>
        <w:pStyle w:val="P68B1DB1-Standaard3"/>
        <w:jc w:val="left"/>
        <w:rPr>
          <w:lang w:val="fr-FR"/>
        </w:rPr>
      </w:pPr>
      <w:r w:rsidRPr="00AB421C">
        <w:rPr>
          <w:lang w:val="fr-FR"/>
        </w:rPr>
        <w:br w:type="page"/>
      </w:r>
    </w:p>
    <w:p w14:paraId="464E364B" w14:textId="77777777" w:rsidR="00AF69C8" w:rsidRDefault="2CC8BABD" w:rsidP="2CC8BABD">
      <w:pPr>
        <w:pStyle w:val="P68B1DB1-Standaard3"/>
        <w:rPr>
          <w:bCs/>
          <w:lang w:val="en-US"/>
        </w:rPr>
      </w:pPr>
      <w:proofErr w:type="spellStart"/>
      <w:r w:rsidRPr="2CC8BABD">
        <w:rPr>
          <w:lang w:val="en-US"/>
        </w:rPr>
        <w:lastRenderedPageBreak/>
        <w:t>Taux</w:t>
      </w:r>
      <w:proofErr w:type="spellEnd"/>
      <w:r w:rsidRPr="2CC8BABD">
        <w:rPr>
          <w:lang w:val="en-US"/>
        </w:rPr>
        <w:t xml:space="preserve"> de ventilation</w:t>
      </w:r>
    </w:p>
    <w:p w14:paraId="40B4C7D9" w14:textId="4C48A61D" w:rsidR="00AF69C8" w:rsidRPr="00AB421C" w:rsidRDefault="2CC8BABD" w:rsidP="2CC8BABD">
      <w:pPr>
        <w:pStyle w:val="P68B1DB1-Lijstalinea1"/>
        <w:numPr>
          <w:ilvl w:val="0"/>
          <w:numId w:val="7"/>
        </w:numPr>
        <w:rPr>
          <w:lang w:val="fr-FR"/>
        </w:rPr>
      </w:pPr>
      <w:r w:rsidRPr="00AB421C">
        <w:rPr>
          <w:lang w:val="fr-FR"/>
        </w:rPr>
        <w:t>Un débit maximal de 150 m³/h peut être atteint avec une longueur de clapet de 2 610 mm avec 1 unité de commande interne.</w:t>
      </w:r>
    </w:p>
    <w:p w14:paraId="72639AE8" w14:textId="77777777" w:rsidR="00AF69C8" w:rsidRPr="00AB421C" w:rsidRDefault="2CC8BABD" w:rsidP="2CC8BABD">
      <w:pPr>
        <w:pStyle w:val="P68B1DB1-Lijstalinea1"/>
        <w:numPr>
          <w:ilvl w:val="0"/>
          <w:numId w:val="7"/>
        </w:numPr>
        <w:rPr>
          <w:lang w:val="fr-FR"/>
        </w:rPr>
      </w:pPr>
      <w:r w:rsidRPr="00AB421C">
        <w:rPr>
          <w:lang w:val="fr-FR"/>
        </w:rPr>
        <w:t xml:space="preserve">La longueur du clapet de ventilation peut être limitée en fonction du débit souhaité ou requis. </w:t>
      </w:r>
    </w:p>
    <w:p w14:paraId="723AB6A1" w14:textId="77777777" w:rsidR="00AF69C8" w:rsidRPr="00AB421C" w:rsidRDefault="00AF69C8">
      <w:pPr>
        <w:rPr>
          <w:rFonts w:eastAsia="MS Mincho"/>
          <w:lang w:val="fr-FR"/>
        </w:rPr>
      </w:pPr>
    </w:p>
    <w:p w14:paraId="517D4489" w14:textId="77777777" w:rsidR="00AF69C8" w:rsidRDefault="2CC8BABD" w:rsidP="2CC8BABD">
      <w:pPr>
        <w:pStyle w:val="P68B1DB1-Standaard3"/>
        <w:rPr>
          <w:bCs/>
          <w:lang w:val="en-US"/>
        </w:rPr>
      </w:pPr>
      <w:r w:rsidRPr="2CC8BABD">
        <w:rPr>
          <w:lang w:val="en-US"/>
        </w:rPr>
        <w:t xml:space="preserve">Domaine </w:t>
      </w:r>
      <w:proofErr w:type="spellStart"/>
      <w:r w:rsidRPr="2CC8BABD">
        <w:rPr>
          <w:lang w:val="en-US"/>
        </w:rPr>
        <w:t>d'application</w:t>
      </w:r>
      <w:proofErr w:type="spellEnd"/>
    </w:p>
    <w:p w14:paraId="1CF99631" w14:textId="23F318A0" w:rsidR="00AF69C8" w:rsidRPr="00AB421C" w:rsidRDefault="2CC8BABD" w:rsidP="2CC8BABD">
      <w:pPr>
        <w:pStyle w:val="P68B1DB1-Lijstalinea1"/>
        <w:numPr>
          <w:ilvl w:val="0"/>
          <w:numId w:val="7"/>
        </w:numPr>
        <w:jc w:val="left"/>
        <w:rPr>
          <w:lang w:val="fr-FR"/>
        </w:rPr>
      </w:pPr>
      <w:r w:rsidRPr="00AB421C">
        <w:rPr>
          <w:lang w:val="fr-FR"/>
        </w:rPr>
        <w:t>L</w:t>
      </w:r>
      <w:r w:rsidR="00F732FD">
        <w:rPr>
          <w:lang w:val="fr-FR"/>
        </w:rPr>
        <w:t xml:space="preserve">’aérateur </w:t>
      </w:r>
      <w:r w:rsidRPr="00AB421C">
        <w:rPr>
          <w:lang w:val="fr-FR"/>
        </w:rPr>
        <w:t xml:space="preserve">peut être appliqué </w:t>
      </w:r>
      <w:r w:rsidR="00F732FD" w:rsidRPr="00AB421C">
        <w:rPr>
          <w:lang w:val="fr-FR"/>
        </w:rPr>
        <w:br/>
      </w:r>
    </w:p>
    <w:p w14:paraId="2E0396C4" w14:textId="7469D9B0" w:rsidR="00AF69C8" w:rsidRPr="00AB421C" w:rsidRDefault="2CC8BABD" w:rsidP="2CC8BABD">
      <w:pPr>
        <w:pStyle w:val="P68B1DB1-Lijstalinea1"/>
        <w:numPr>
          <w:ilvl w:val="1"/>
          <w:numId w:val="7"/>
        </w:numPr>
        <w:jc w:val="left"/>
        <w:rPr>
          <w:lang w:val="fr-FR"/>
        </w:rPr>
      </w:pPr>
      <w:r w:rsidRPr="00AB421C">
        <w:rPr>
          <w:lang w:val="fr-FR"/>
        </w:rPr>
        <w:t>Jusqu'à une hauteur de bâtiment de 70 mètres</w:t>
      </w:r>
    </w:p>
    <w:p w14:paraId="5ABBA32F" w14:textId="5ED8821B" w:rsidR="00AF69C8" w:rsidRPr="00AB421C" w:rsidRDefault="2CC8BABD" w:rsidP="2CC8BABD">
      <w:pPr>
        <w:pStyle w:val="P68B1DB1-Lijstalinea1"/>
        <w:numPr>
          <w:ilvl w:val="1"/>
          <w:numId w:val="7"/>
        </w:numPr>
        <w:jc w:val="left"/>
        <w:rPr>
          <w:lang w:val="fr-FR"/>
        </w:rPr>
      </w:pPr>
      <w:r w:rsidRPr="00AB421C">
        <w:rPr>
          <w:lang w:val="fr-FR"/>
        </w:rPr>
        <w:t xml:space="preserve">Dans le système </w:t>
      </w:r>
      <w:proofErr w:type="spellStart"/>
      <w:r w:rsidRPr="00255660">
        <w:rPr>
          <w:rStyle w:val="MerkChar"/>
          <w:rFonts w:eastAsia="Times New Roman"/>
          <w:lang w:val="fr-FR"/>
        </w:rPr>
        <w:t>DucoTronic</w:t>
      </w:r>
      <w:proofErr w:type="spellEnd"/>
      <w:r w:rsidRPr="00255660">
        <w:rPr>
          <w:rStyle w:val="MerkChar"/>
          <w:rFonts w:eastAsia="Times New Roman"/>
          <w:lang w:val="fr-FR"/>
        </w:rPr>
        <w:t xml:space="preserve"> (Plus)</w:t>
      </w:r>
      <w:r w:rsidRPr="00AB421C">
        <w:rPr>
          <w:lang w:val="fr-FR"/>
        </w:rPr>
        <w:t xml:space="preserve"> </w:t>
      </w:r>
    </w:p>
    <w:p w14:paraId="6B7034F0" w14:textId="77777777" w:rsidR="00AF69C8" w:rsidRPr="00AB421C" w:rsidRDefault="2CC8BABD" w:rsidP="2CC8BABD">
      <w:pPr>
        <w:pStyle w:val="P68B1DB1-Lijstalinea1"/>
        <w:numPr>
          <w:ilvl w:val="1"/>
          <w:numId w:val="7"/>
        </w:numPr>
        <w:jc w:val="left"/>
        <w:rPr>
          <w:lang w:val="fr-FR"/>
        </w:rPr>
      </w:pPr>
      <w:r w:rsidRPr="00AB421C">
        <w:rPr>
          <w:lang w:val="fr-FR"/>
        </w:rPr>
        <w:t>Dans les projets de rénovation (majeure) comme de construction neuve</w:t>
      </w:r>
    </w:p>
    <w:p w14:paraId="4AABC67C" w14:textId="77777777" w:rsidR="00AF69C8" w:rsidRPr="00AB421C" w:rsidRDefault="2CC8BABD" w:rsidP="2CC8BABD">
      <w:pPr>
        <w:pStyle w:val="P68B1DB1-Lijstalinea1"/>
        <w:numPr>
          <w:ilvl w:val="1"/>
          <w:numId w:val="7"/>
        </w:numPr>
        <w:jc w:val="left"/>
        <w:rPr>
          <w:lang w:val="fr-FR"/>
        </w:rPr>
      </w:pPr>
      <w:r w:rsidRPr="00AB421C">
        <w:rPr>
          <w:lang w:val="fr-FR"/>
        </w:rPr>
        <w:t>En combinaison avec un point d'extraction dans la même pièce</w:t>
      </w:r>
    </w:p>
    <w:p w14:paraId="3AEA6115" w14:textId="1BD201B6" w:rsidR="00AF69C8" w:rsidRPr="00AB421C" w:rsidRDefault="2CC8BABD" w:rsidP="2CC8BABD">
      <w:pPr>
        <w:pStyle w:val="P68B1DB1-Lijstalinea1"/>
        <w:numPr>
          <w:ilvl w:val="1"/>
          <w:numId w:val="7"/>
        </w:numPr>
        <w:jc w:val="left"/>
        <w:rPr>
          <w:lang w:val="fr-FR"/>
        </w:rPr>
      </w:pPr>
      <w:r w:rsidRPr="00AB421C">
        <w:rPr>
          <w:lang w:val="fr-FR"/>
        </w:rPr>
        <w:t>Dans les applications soumises à des vents très violents, comme les immeubles de grande hauteur et les immeubles d'appartements sur la côte.</w:t>
      </w:r>
    </w:p>
    <w:p w14:paraId="4C9B3AE5" w14:textId="14439423" w:rsidR="00AF69C8" w:rsidRPr="00AB421C" w:rsidRDefault="2CC8BABD" w:rsidP="2CC8BABD">
      <w:pPr>
        <w:pStyle w:val="P68B1DB1-Lijstalinea1"/>
        <w:numPr>
          <w:ilvl w:val="1"/>
          <w:numId w:val="7"/>
        </w:numPr>
        <w:jc w:val="left"/>
        <w:rPr>
          <w:lang w:val="fr-FR"/>
        </w:rPr>
      </w:pPr>
      <w:r w:rsidRPr="00AB421C">
        <w:rPr>
          <w:lang w:val="fr-FR"/>
        </w:rPr>
        <w:t xml:space="preserve">En combinaison avec les produits de protection solaire en toile </w:t>
      </w:r>
      <w:r w:rsidRPr="001427D9">
        <w:rPr>
          <w:rStyle w:val="MerkChar"/>
          <w:rFonts w:eastAsia="Times New Roman"/>
          <w:lang w:val="fr-FR"/>
        </w:rPr>
        <w:t>DUCO</w:t>
      </w:r>
      <w:r w:rsidRPr="00AB421C">
        <w:rPr>
          <w:lang w:val="fr-FR"/>
        </w:rPr>
        <w:t>, qui peuvent être montés de manière invisible dans la cavité ou devant la façade.</w:t>
      </w:r>
    </w:p>
    <w:p w14:paraId="7A2F3BFA" w14:textId="77777777" w:rsidR="00AF69C8" w:rsidRPr="00AB421C" w:rsidRDefault="00AF69C8">
      <w:pPr>
        <w:rPr>
          <w:rFonts w:eastAsia="MS Mincho"/>
          <w:lang w:val="fr-FR"/>
        </w:rPr>
      </w:pPr>
    </w:p>
    <w:p w14:paraId="011CEF65" w14:textId="77777777" w:rsidR="00AF69C8" w:rsidRDefault="2CC8BABD" w:rsidP="2CC8BABD">
      <w:pPr>
        <w:pStyle w:val="P68B1DB1-Standaard3"/>
        <w:rPr>
          <w:bCs/>
          <w:lang w:val="en-US"/>
        </w:rPr>
      </w:pPr>
      <w:proofErr w:type="spellStart"/>
      <w:r w:rsidRPr="2CC8BABD">
        <w:rPr>
          <w:lang w:val="en-US"/>
        </w:rPr>
        <w:t>Commande</w:t>
      </w:r>
      <w:proofErr w:type="spellEnd"/>
    </w:p>
    <w:p w14:paraId="203349EC" w14:textId="09F09A96" w:rsidR="00AF69C8" w:rsidRPr="00AB421C" w:rsidRDefault="2CC8BABD" w:rsidP="2CC8BABD">
      <w:pPr>
        <w:pStyle w:val="P68B1DB1-Lijstalinea1"/>
        <w:numPr>
          <w:ilvl w:val="0"/>
          <w:numId w:val="11"/>
        </w:numPr>
        <w:rPr>
          <w:lang w:val="fr-FR"/>
        </w:rPr>
      </w:pPr>
      <w:r w:rsidRPr="00AB421C">
        <w:rPr>
          <w:lang w:val="fr-FR"/>
        </w:rPr>
        <w:t>L'utilisateur peut actionner manuellement le clapet de ventilation interne en appuyant sur la position souhaitée sur le capteur.</w:t>
      </w:r>
    </w:p>
    <w:p w14:paraId="6AA79E86" w14:textId="77777777" w:rsidR="00AF69C8" w:rsidRPr="00AB421C" w:rsidRDefault="2CC8BABD" w:rsidP="2CC8BABD">
      <w:pPr>
        <w:pStyle w:val="P68B1DB1-Lijstalinea1"/>
        <w:numPr>
          <w:ilvl w:val="0"/>
          <w:numId w:val="11"/>
        </w:numPr>
        <w:rPr>
          <w:lang w:val="fr-FR"/>
        </w:rPr>
      </w:pPr>
      <w:r w:rsidRPr="00AB421C">
        <w:rPr>
          <w:lang w:val="fr-FR"/>
        </w:rPr>
        <w:t>Le clapet de ventilation interne peut être contrôlé automatiquement en fonction du CO</w:t>
      </w:r>
      <w:r w:rsidRPr="00AB421C">
        <w:rPr>
          <w:vertAlign w:val="subscript"/>
          <w:lang w:val="fr-FR"/>
        </w:rPr>
        <w:t>2</w:t>
      </w:r>
      <w:r w:rsidRPr="00AB421C">
        <w:rPr>
          <w:lang w:val="fr-FR"/>
        </w:rPr>
        <w:t>, de l'humidité et de la température.</w:t>
      </w:r>
    </w:p>
    <w:p w14:paraId="3B7978EF" w14:textId="77777777" w:rsidR="00AF69C8" w:rsidRPr="00AB421C" w:rsidRDefault="00AF69C8">
      <w:pPr>
        <w:rPr>
          <w:rFonts w:eastAsia="MS Mincho"/>
          <w:b/>
          <w:u w:val="single"/>
          <w:lang w:val="fr-FR"/>
        </w:rPr>
      </w:pPr>
    </w:p>
    <w:p w14:paraId="3E214523" w14:textId="77777777" w:rsidR="00AF69C8" w:rsidRDefault="2CC8BABD" w:rsidP="2CC8BABD">
      <w:pPr>
        <w:pStyle w:val="P68B1DB1-Standaard3"/>
        <w:rPr>
          <w:bCs/>
          <w:lang w:val="en-US"/>
        </w:rPr>
      </w:pPr>
      <w:proofErr w:type="spellStart"/>
      <w:r w:rsidRPr="2CC8BABD">
        <w:rPr>
          <w:lang w:val="en-US"/>
        </w:rPr>
        <w:t>Matériau</w:t>
      </w:r>
      <w:proofErr w:type="spellEnd"/>
    </w:p>
    <w:p w14:paraId="72130CBD" w14:textId="77777777" w:rsidR="00AF69C8" w:rsidRPr="00AB421C" w:rsidRDefault="2CC8BABD">
      <w:pPr>
        <w:pStyle w:val="Lijstalinea"/>
        <w:numPr>
          <w:ilvl w:val="0"/>
          <w:numId w:val="8"/>
        </w:numPr>
        <w:rPr>
          <w:lang w:val="fr-FR"/>
        </w:rPr>
      </w:pPr>
      <w:r w:rsidRPr="00AB421C">
        <w:rPr>
          <w:lang w:val="fr-FR"/>
        </w:rPr>
        <w:t>Aluminium : EN AW - 6063 T66 et EN AW - 6060 T66</w:t>
      </w:r>
    </w:p>
    <w:p w14:paraId="5FDCAF9C" w14:textId="77777777" w:rsidR="00AF69C8" w:rsidRPr="00AB421C" w:rsidRDefault="2CC8BABD" w:rsidP="2CC8BABD">
      <w:pPr>
        <w:pStyle w:val="Lijstalinea"/>
        <w:numPr>
          <w:ilvl w:val="0"/>
          <w:numId w:val="8"/>
        </w:numPr>
        <w:jc w:val="left"/>
        <w:rPr>
          <w:lang w:val="fr-FR"/>
        </w:rPr>
      </w:pPr>
      <w:r w:rsidRPr="00AB421C">
        <w:rPr>
          <w:lang w:val="fr-FR"/>
        </w:rPr>
        <w:t>Pièces en plastique : ABS et polypropylène (inaltérables et résistants aux intempéries)</w:t>
      </w:r>
      <w:r w:rsidR="00F732FD" w:rsidRPr="00AB421C">
        <w:rPr>
          <w:lang w:val="fr-FR"/>
        </w:rPr>
        <w:br/>
      </w:r>
    </w:p>
    <w:p w14:paraId="3049E4BD" w14:textId="77777777" w:rsidR="00AF69C8" w:rsidRDefault="2CC8BABD" w:rsidP="2CC8BABD">
      <w:pPr>
        <w:pStyle w:val="P68B1DB1-Standaard2"/>
        <w:rPr>
          <w:bCs/>
          <w:lang w:val="en-US"/>
        </w:rPr>
      </w:pPr>
      <w:proofErr w:type="spellStart"/>
      <w:r w:rsidRPr="2CC8BABD">
        <w:rPr>
          <w:lang w:val="en-US"/>
        </w:rPr>
        <w:t>Finition</w:t>
      </w:r>
      <w:proofErr w:type="spellEnd"/>
      <w:r w:rsidRPr="2CC8BABD">
        <w:rPr>
          <w:lang w:val="en-US"/>
        </w:rPr>
        <w:t xml:space="preserve"> / </w:t>
      </w:r>
      <w:proofErr w:type="spellStart"/>
      <w:r w:rsidRPr="2CC8BABD">
        <w:rPr>
          <w:lang w:val="en-US"/>
        </w:rPr>
        <w:t>Traitement</w:t>
      </w:r>
      <w:proofErr w:type="spellEnd"/>
      <w:r w:rsidRPr="2CC8BABD">
        <w:rPr>
          <w:lang w:val="en-US"/>
        </w:rPr>
        <w:t xml:space="preserve"> de surface</w:t>
      </w:r>
    </w:p>
    <w:p w14:paraId="7EE99808" w14:textId="48DFE954" w:rsidR="00AF69C8" w:rsidRPr="00AB421C" w:rsidRDefault="2CC8BABD">
      <w:pPr>
        <w:pStyle w:val="Lijstalinea"/>
        <w:numPr>
          <w:ilvl w:val="0"/>
          <w:numId w:val="8"/>
        </w:numPr>
        <w:rPr>
          <w:lang w:val="fr-FR"/>
        </w:rPr>
      </w:pPr>
      <w:r w:rsidRPr="00AB421C">
        <w:rPr>
          <w:lang w:val="fr-FR"/>
        </w:rPr>
        <w:t>Polyester peint par poudrage (60-80 µm) RAL</w:t>
      </w:r>
    </w:p>
    <w:p w14:paraId="627A705A" w14:textId="649A747F" w:rsidR="00AF69C8" w:rsidRPr="00AB421C" w:rsidRDefault="2CC8BABD">
      <w:pPr>
        <w:pStyle w:val="Lijstalinea"/>
        <w:numPr>
          <w:ilvl w:val="0"/>
          <w:numId w:val="8"/>
        </w:numPr>
        <w:rPr>
          <w:lang w:val="fr-FR"/>
        </w:rPr>
      </w:pPr>
      <w:r w:rsidRPr="00AB421C">
        <w:rPr>
          <w:lang w:val="fr-FR"/>
        </w:rPr>
        <w:t>Version bicolore (où la couleur extérieure et intérieure sont différentes)</w:t>
      </w:r>
    </w:p>
    <w:p w14:paraId="0E3519DF" w14:textId="6B2E5A36" w:rsidR="00AF69C8" w:rsidRPr="00AB421C" w:rsidRDefault="2CC8BABD" w:rsidP="2CC8BABD">
      <w:pPr>
        <w:pStyle w:val="P68B1DB1-Lijstalinea1"/>
        <w:numPr>
          <w:ilvl w:val="0"/>
          <w:numId w:val="8"/>
        </w:numPr>
        <w:rPr>
          <w:lang w:val="fr-FR"/>
        </w:rPr>
      </w:pPr>
      <w:r w:rsidRPr="00AB421C">
        <w:rPr>
          <w:lang w:val="fr-FR"/>
        </w:rPr>
        <w:t>Couleur des embouts = blanc / noir / RAL</w:t>
      </w:r>
    </w:p>
    <w:p w14:paraId="262E2614" w14:textId="77777777" w:rsidR="00AF69C8" w:rsidRPr="00AB421C" w:rsidRDefault="00AF69C8">
      <w:pPr>
        <w:rPr>
          <w:rFonts w:eastAsia="MS Mincho"/>
          <w:b/>
          <w:u w:val="single"/>
          <w:lang w:val="fr-FR"/>
        </w:rPr>
      </w:pPr>
    </w:p>
    <w:p w14:paraId="53778B3B" w14:textId="77777777" w:rsidR="00AF69C8" w:rsidRDefault="2CC8BABD" w:rsidP="2CC8BABD">
      <w:pPr>
        <w:pStyle w:val="P68B1DB1-Standaard3"/>
        <w:rPr>
          <w:bCs/>
          <w:lang w:val="en-US"/>
        </w:rPr>
      </w:pPr>
      <w:proofErr w:type="spellStart"/>
      <w:r w:rsidRPr="2CC8BABD">
        <w:rPr>
          <w:lang w:val="en-US"/>
        </w:rPr>
        <w:t>Câblage</w:t>
      </w:r>
      <w:proofErr w:type="spellEnd"/>
    </w:p>
    <w:p w14:paraId="2AF8D0BF" w14:textId="01CC7B97" w:rsidR="00AF69C8" w:rsidRPr="00AB421C" w:rsidRDefault="2CC8BABD" w:rsidP="2CC8BABD">
      <w:pPr>
        <w:pStyle w:val="P68B1DB1-Lijstalinea1"/>
        <w:numPr>
          <w:ilvl w:val="0"/>
          <w:numId w:val="9"/>
        </w:numPr>
        <w:rPr>
          <w:lang w:val="fr-FR"/>
        </w:rPr>
      </w:pPr>
      <w:r w:rsidRPr="00AB421C">
        <w:rPr>
          <w:lang w:val="fr-FR"/>
        </w:rPr>
        <w:t>Connexion 24 VDC au moyen d'un câble à âme pleine vers l'aérateur pour l'alimentation du moteur (servo) (2 x 0,75 mm²) et de la communication (3 x 0,75 mm²) ou à 5 âmes (0,75 mm²)</w:t>
      </w:r>
    </w:p>
    <w:p w14:paraId="266D0BB3" w14:textId="0A80BFE3" w:rsidR="00AF69C8" w:rsidRPr="00AB421C" w:rsidRDefault="2CC8BABD" w:rsidP="2CC8BABD">
      <w:pPr>
        <w:pStyle w:val="P68B1DB1-Lijstalinea1"/>
        <w:numPr>
          <w:ilvl w:val="0"/>
          <w:numId w:val="9"/>
        </w:numPr>
        <w:rPr>
          <w:lang w:val="fr-FR"/>
        </w:rPr>
      </w:pPr>
      <w:r w:rsidRPr="00AB421C">
        <w:rPr>
          <w:lang w:val="fr-FR"/>
        </w:rPr>
        <w:t xml:space="preserve">Un câble de 3 mètres (LIYY) est fourni par </w:t>
      </w:r>
      <w:r w:rsidRPr="001427D9">
        <w:rPr>
          <w:rStyle w:val="MerkChar"/>
          <w:rFonts w:eastAsia="Times New Roman"/>
          <w:lang w:val="fr-FR"/>
        </w:rPr>
        <w:t>DUCO</w:t>
      </w:r>
      <w:r w:rsidRPr="00AB421C">
        <w:rPr>
          <w:lang w:val="fr-FR"/>
        </w:rPr>
        <w:t xml:space="preserve"> en standard avec 5 x 0,25 mm² depuis l'aérateur</w:t>
      </w:r>
    </w:p>
    <w:p w14:paraId="4066A37A" w14:textId="0487FD6B" w:rsidR="00AF69C8" w:rsidRPr="00AB421C" w:rsidRDefault="2CC8BABD" w:rsidP="2CC8BABD">
      <w:pPr>
        <w:pStyle w:val="P68B1DB1-Lijstalinea1"/>
        <w:numPr>
          <w:ilvl w:val="0"/>
          <w:numId w:val="9"/>
        </w:numPr>
        <w:rPr>
          <w:lang w:val="fr-FR"/>
        </w:rPr>
      </w:pPr>
      <w:r w:rsidRPr="00AB421C">
        <w:rPr>
          <w:lang w:val="fr-FR"/>
        </w:rPr>
        <w:t xml:space="preserve">Une épaisseur de câble de 0,75 mm² doit être maintenue entre les différents composants </w:t>
      </w:r>
      <w:r w:rsidRPr="001427D9">
        <w:rPr>
          <w:rStyle w:val="MerkChar"/>
          <w:rFonts w:eastAsia="Times New Roman"/>
          <w:lang w:val="fr-FR"/>
        </w:rPr>
        <w:t>DUCO</w:t>
      </w:r>
    </w:p>
    <w:p w14:paraId="3C9A43CE" w14:textId="77777777" w:rsidR="00AF69C8" w:rsidRPr="00AB421C" w:rsidRDefault="2CC8BABD" w:rsidP="2CC8BABD">
      <w:pPr>
        <w:pStyle w:val="P68B1DB1-Lijstalinea1"/>
        <w:numPr>
          <w:ilvl w:val="0"/>
          <w:numId w:val="9"/>
        </w:numPr>
        <w:rPr>
          <w:lang w:val="fr-FR"/>
        </w:rPr>
      </w:pPr>
      <w:r w:rsidRPr="00AB421C">
        <w:rPr>
          <w:lang w:val="fr-FR"/>
        </w:rPr>
        <w:t>L'installateur / électricien doit prévoir un boîtier de contact à 2,5 mètres maximum de l'aérateur</w:t>
      </w:r>
    </w:p>
    <w:p w14:paraId="0528106E" w14:textId="77777777" w:rsidR="00AF69C8" w:rsidRPr="00AB421C" w:rsidRDefault="2CC8BABD" w:rsidP="2CC8BABD">
      <w:pPr>
        <w:pStyle w:val="P68B1DB1-Lijstalinea1"/>
        <w:numPr>
          <w:ilvl w:val="0"/>
          <w:numId w:val="9"/>
        </w:numPr>
        <w:rPr>
          <w:lang w:val="fr-FR"/>
        </w:rPr>
      </w:pPr>
      <w:r w:rsidRPr="00AB421C">
        <w:rPr>
          <w:lang w:val="fr-FR"/>
        </w:rPr>
        <w:t>Entrée de câble latérale : droite vue de l'intérieur</w:t>
      </w:r>
    </w:p>
    <w:p w14:paraId="6D0AF039" w14:textId="77777777" w:rsidR="00AF69C8" w:rsidRPr="00AB421C" w:rsidRDefault="00AF69C8">
      <w:pPr>
        <w:rPr>
          <w:rFonts w:eastAsia="MS Mincho"/>
          <w:lang w:val="fr-FR"/>
        </w:rPr>
      </w:pPr>
    </w:p>
    <w:p w14:paraId="57AEB79D" w14:textId="3481861C" w:rsidR="00AF69C8" w:rsidRDefault="00F732FD">
      <w:pPr>
        <w:pStyle w:val="P68B1DB1-Standaard3"/>
      </w:pPr>
      <w:r>
        <w:t xml:space="preserve">Base de </w:t>
      </w:r>
      <w:proofErr w:type="spellStart"/>
      <w:r>
        <w:t>données</w:t>
      </w:r>
      <w:proofErr w:type="spellEnd"/>
      <w:r>
        <w:t xml:space="preserve"> PEB</w:t>
      </w:r>
    </w:p>
    <w:p w14:paraId="3AC2FF7F" w14:textId="76616C31" w:rsidR="00AF69C8" w:rsidRPr="00AB421C" w:rsidRDefault="2CC8BABD" w:rsidP="2CC8BABD">
      <w:pPr>
        <w:pStyle w:val="P68B1DB1-Lijstalinea1"/>
        <w:numPr>
          <w:ilvl w:val="0"/>
          <w:numId w:val="12"/>
        </w:numPr>
        <w:rPr>
          <w:lang w:val="fr-FR"/>
        </w:rPr>
      </w:pPr>
      <w:r w:rsidRPr="00AB421C">
        <w:rPr>
          <w:lang w:val="fr-FR"/>
        </w:rPr>
        <w:t>Intégré dans la base de données PEB.</w:t>
      </w:r>
    </w:p>
    <w:p w14:paraId="23CD7233" w14:textId="4439C05C" w:rsidR="00AF69C8" w:rsidRPr="00AB421C" w:rsidRDefault="00AF69C8">
      <w:pPr>
        <w:jc w:val="left"/>
        <w:rPr>
          <w:b/>
          <w:u w:val="single"/>
          <w:lang w:val="fr-FR"/>
        </w:rPr>
      </w:pPr>
    </w:p>
    <w:p w14:paraId="1BA2D51D" w14:textId="77777777" w:rsidR="00AF69C8" w:rsidRPr="00AB421C" w:rsidRDefault="2CC8BABD">
      <w:pPr>
        <w:pStyle w:val="Kop5"/>
        <w:rPr>
          <w:lang w:val="fr-FR"/>
        </w:rPr>
      </w:pPr>
      <w:r w:rsidRPr="00AB421C">
        <w:rPr>
          <w:lang w:val="fr-FR"/>
        </w:rPr>
        <w:t>Version (voir rubrique "finition / traitement de surface")</w:t>
      </w:r>
    </w:p>
    <w:p w14:paraId="4DBC16C7" w14:textId="0A525FBA" w:rsidR="00AF69C8" w:rsidRPr="00AB421C" w:rsidRDefault="2CC8BABD">
      <w:pPr>
        <w:rPr>
          <w:lang w:val="fr-FR"/>
        </w:rPr>
      </w:pPr>
      <w:r w:rsidRPr="00AB421C">
        <w:rPr>
          <w:lang w:val="fr-FR"/>
        </w:rPr>
        <w:t>Couleur - extérieur :</w:t>
      </w:r>
      <w:r w:rsidR="00F732FD" w:rsidRPr="00AB421C">
        <w:rPr>
          <w:lang w:val="fr-FR"/>
        </w:rPr>
        <w:tab/>
      </w:r>
      <w:r w:rsidR="00F732FD">
        <w:rPr>
          <w:lang w:val="fr-FR"/>
        </w:rPr>
        <w:tab/>
      </w:r>
      <w:r w:rsidRPr="00AB421C">
        <w:rPr>
          <w:lang w:val="fr-FR"/>
        </w:rPr>
        <w:t>...</w:t>
      </w:r>
    </w:p>
    <w:p w14:paraId="43C2B153" w14:textId="152F2A34" w:rsidR="00AF69C8" w:rsidRPr="00AB421C" w:rsidRDefault="2CC8BABD">
      <w:pPr>
        <w:rPr>
          <w:lang w:val="fr-FR"/>
        </w:rPr>
      </w:pPr>
      <w:r w:rsidRPr="00AB421C">
        <w:rPr>
          <w:lang w:val="fr-FR"/>
        </w:rPr>
        <w:t>Couleur - intérieur :</w:t>
      </w:r>
      <w:r w:rsidR="00F732FD" w:rsidRPr="00AB421C">
        <w:rPr>
          <w:lang w:val="fr-FR"/>
        </w:rPr>
        <w:tab/>
      </w:r>
      <w:r w:rsidR="00F732FD">
        <w:rPr>
          <w:lang w:val="fr-FR"/>
        </w:rPr>
        <w:tab/>
      </w:r>
      <w:r w:rsidRPr="00AB421C">
        <w:rPr>
          <w:lang w:val="fr-FR"/>
        </w:rPr>
        <w:t>…</w:t>
      </w:r>
    </w:p>
    <w:p w14:paraId="1F199F9C" w14:textId="156AC5E7" w:rsidR="00AF69C8" w:rsidRPr="00AB421C" w:rsidRDefault="2CC8BABD">
      <w:pPr>
        <w:rPr>
          <w:lang w:val="fr-FR"/>
        </w:rPr>
      </w:pPr>
      <w:r w:rsidRPr="00AB421C">
        <w:rPr>
          <w:lang w:val="fr-FR"/>
        </w:rPr>
        <w:t>Couleur embouts :</w:t>
      </w:r>
      <w:r w:rsidR="00F732FD" w:rsidRPr="00AB421C">
        <w:rPr>
          <w:lang w:val="fr-FR"/>
        </w:rPr>
        <w:tab/>
      </w:r>
      <w:r w:rsidR="00F732FD" w:rsidRPr="00AB421C">
        <w:rPr>
          <w:lang w:val="fr-FR"/>
        </w:rPr>
        <w:tab/>
      </w:r>
      <w:r w:rsidRPr="00AB421C">
        <w:rPr>
          <w:lang w:val="fr-FR"/>
        </w:rPr>
        <w:t>…</w:t>
      </w:r>
    </w:p>
    <w:p w14:paraId="350CF113" w14:textId="77777777" w:rsidR="00AF69C8" w:rsidRPr="00AB421C" w:rsidRDefault="2CC8BABD">
      <w:pPr>
        <w:rPr>
          <w:lang w:val="fr-FR"/>
        </w:rPr>
      </w:pPr>
      <w:r w:rsidRPr="00AB421C">
        <w:rPr>
          <w:lang w:val="fr-FR"/>
        </w:rPr>
        <w:t>Couleur capot extérieur optionnel :</w:t>
      </w:r>
      <w:r w:rsidR="00F732FD" w:rsidRPr="00AB421C">
        <w:rPr>
          <w:lang w:val="fr-FR"/>
        </w:rPr>
        <w:tab/>
      </w:r>
      <w:r w:rsidRPr="00AB421C">
        <w:rPr>
          <w:lang w:val="fr-FR"/>
        </w:rPr>
        <w:t>…</w:t>
      </w:r>
    </w:p>
    <w:p w14:paraId="4C8931BB" w14:textId="77777777" w:rsidR="00AF69C8" w:rsidRPr="00AB421C" w:rsidRDefault="2CC8BABD">
      <w:pPr>
        <w:rPr>
          <w:lang w:val="fr-FR"/>
        </w:rPr>
      </w:pPr>
      <w:r w:rsidRPr="00AB421C">
        <w:rPr>
          <w:lang w:val="fr-FR"/>
        </w:rPr>
        <w:t>Couleur profilé de remplissage optionnel :</w:t>
      </w:r>
      <w:r w:rsidR="00F732FD" w:rsidRPr="00AB421C">
        <w:rPr>
          <w:lang w:val="fr-FR"/>
        </w:rPr>
        <w:tab/>
      </w:r>
      <w:r w:rsidRPr="00AB421C">
        <w:rPr>
          <w:lang w:val="fr-FR"/>
        </w:rPr>
        <w:t>…</w:t>
      </w:r>
    </w:p>
    <w:p w14:paraId="20A1E1B3" w14:textId="769550AD" w:rsidR="0084560D" w:rsidRDefault="0084560D">
      <w:pPr>
        <w:jc w:val="left"/>
        <w:rPr>
          <w:b/>
          <w:u w:val="single"/>
          <w:lang w:val="fr-FR"/>
        </w:rPr>
      </w:pPr>
      <w:r>
        <w:rPr>
          <w:lang w:val="fr-FR"/>
        </w:rPr>
        <w:br w:type="page"/>
      </w:r>
    </w:p>
    <w:p w14:paraId="4645A5E1" w14:textId="2ADDF8E3" w:rsidR="00AF69C8" w:rsidRPr="00AB421C" w:rsidRDefault="2CC8BABD">
      <w:pPr>
        <w:pStyle w:val="Kop5"/>
        <w:rPr>
          <w:lang w:val="fr-FR"/>
        </w:rPr>
      </w:pPr>
      <w:r w:rsidRPr="00AB421C">
        <w:rPr>
          <w:lang w:val="fr-FR"/>
        </w:rPr>
        <w:lastRenderedPageBreak/>
        <w:t>Spécifications techniques</w:t>
      </w:r>
    </w:p>
    <w:p w14:paraId="662FDA72" w14:textId="742B1A54" w:rsidR="00AF69C8" w:rsidRDefault="2CC8BABD" w:rsidP="2CC8BABD">
      <w:pPr>
        <w:jc w:val="left"/>
        <w:rPr>
          <w:lang w:val="fr-FR"/>
        </w:rPr>
      </w:pPr>
      <w:r w:rsidRPr="2CC8BABD">
        <w:rPr>
          <w:lang w:val="fr-FR"/>
        </w:rPr>
        <w:t xml:space="preserve">Tableau des valeurs ventilation </w:t>
      </w:r>
      <w:proofErr w:type="spellStart"/>
      <w:r w:rsidR="005404ED" w:rsidRPr="005404ED">
        <w:rPr>
          <w:rStyle w:val="MerkChar"/>
          <w:lang w:val="fr-FR"/>
        </w:rPr>
        <w:t>TronicSkyVent</w:t>
      </w:r>
      <w:proofErr w:type="spellEnd"/>
      <w:r w:rsidR="005404ED" w:rsidRPr="005404ED">
        <w:rPr>
          <w:rStyle w:val="MerkChar"/>
          <w:lang w:val="fr-FR"/>
        </w:rPr>
        <w:t xml:space="preserve"> BE</w:t>
      </w:r>
      <w:r w:rsidRPr="2CC8BABD">
        <w:rPr>
          <w:lang w:val="fr-FR"/>
        </w:rPr>
        <w:t>:</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
        <w:gridCol w:w="2399"/>
        <w:gridCol w:w="1325"/>
        <w:gridCol w:w="1329"/>
        <w:gridCol w:w="886"/>
        <w:gridCol w:w="888"/>
        <w:gridCol w:w="1557"/>
      </w:tblGrid>
      <w:tr w:rsidR="00AF69C8" w14:paraId="5E4C5BC3" w14:textId="77777777" w:rsidTr="00C3447F">
        <w:trPr>
          <w:trHeight w:val="283"/>
        </w:trPr>
        <w:tc>
          <w:tcPr>
            <w:tcW w:w="526" w:type="pct"/>
            <w:vMerge w:val="restart"/>
            <w:shd w:val="clear" w:color="auto" w:fill="D6E3BC" w:themeFill="accent3" w:themeFillTint="66"/>
            <w:noWrap/>
            <w:vAlign w:val="center"/>
            <w:hideMark/>
          </w:tcPr>
          <w:p w14:paraId="54DC2346" w14:textId="77777777" w:rsidR="00AF69C8" w:rsidRDefault="00F732FD" w:rsidP="001E4698">
            <w:pPr>
              <w:pStyle w:val="P68B1DB1-Standaard4"/>
              <w:jc w:val="center"/>
            </w:pPr>
            <w:r>
              <w:t>Type</w:t>
            </w:r>
          </w:p>
        </w:tc>
        <w:tc>
          <w:tcPr>
            <w:tcW w:w="1280" w:type="pct"/>
            <w:vMerge w:val="restart"/>
            <w:shd w:val="clear" w:color="auto" w:fill="D6E3BC" w:themeFill="accent3" w:themeFillTint="66"/>
            <w:noWrap/>
            <w:vAlign w:val="center"/>
            <w:hideMark/>
          </w:tcPr>
          <w:p w14:paraId="1C4228CC" w14:textId="77777777" w:rsidR="00AF69C8" w:rsidRDefault="2CC8BABD" w:rsidP="001E4698">
            <w:pPr>
              <w:pStyle w:val="P68B1DB1-Standaard4"/>
              <w:jc w:val="center"/>
              <w:rPr>
                <w:lang w:val="en-US"/>
              </w:rPr>
            </w:pPr>
            <w:proofErr w:type="spellStart"/>
            <w:r w:rsidRPr="2CC8BABD">
              <w:rPr>
                <w:lang w:val="en-US"/>
              </w:rPr>
              <w:t>Profondeur</w:t>
            </w:r>
            <w:proofErr w:type="spellEnd"/>
            <w:r w:rsidRPr="2CC8BABD">
              <w:rPr>
                <w:lang w:val="en-US"/>
              </w:rPr>
              <w:t xml:space="preserve"> </w:t>
            </w:r>
            <w:proofErr w:type="spellStart"/>
            <w:r w:rsidRPr="2CC8BABD">
              <w:rPr>
                <w:lang w:val="en-US"/>
              </w:rPr>
              <w:t>d'installation</w:t>
            </w:r>
            <w:proofErr w:type="spellEnd"/>
          </w:p>
          <w:p w14:paraId="3123D0F5" w14:textId="77777777" w:rsidR="00AF69C8" w:rsidRDefault="00F732FD" w:rsidP="001E4698">
            <w:pPr>
              <w:pStyle w:val="P68B1DB1-Standaard4"/>
              <w:jc w:val="center"/>
            </w:pPr>
            <w:r>
              <w:t>(mm)</w:t>
            </w:r>
          </w:p>
        </w:tc>
        <w:tc>
          <w:tcPr>
            <w:tcW w:w="1416" w:type="pct"/>
            <w:gridSpan w:val="2"/>
            <w:shd w:val="clear" w:color="auto" w:fill="D6E3BC" w:themeFill="accent3" w:themeFillTint="66"/>
            <w:vAlign w:val="center"/>
          </w:tcPr>
          <w:p w14:paraId="46141F58" w14:textId="77777777" w:rsidR="00AF69C8" w:rsidRPr="00AB421C" w:rsidRDefault="2CC8BABD" w:rsidP="001E4698">
            <w:pPr>
              <w:pStyle w:val="P68B1DB1-Tekstzonderopmaak5"/>
              <w:jc w:val="center"/>
              <w:rPr>
                <w:lang w:val="fr-FR"/>
              </w:rPr>
            </w:pPr>
            <w:r w:rsidRPr="00AB421C">
              <w:rPr>
                <w:lang w:val="fr-FR"/>
              </w:rPr>
              <w:t>Capacité de ventilation (q</w:t>
            </w:r>
            <w:r w:rsidRPr="00AB421C">
              <w:rPr>
                <w:vertAlign w:val="subscript"/>
                <w:lang w:val="fr-FR"/>
              </w:rPr>
              <w:t>1</w:t>
            </w:r>
            <w:r w:rsidRPr="00AB421C">
              <w:rPr>
                <w:lang w:val="fr-FR"/>
              </w:rPr>
              <w:t>, L</w:t>
            </w:r>
            <w:r w:rsidRPr="00AB421C">
              <w:rPr>
                <w:vertAlign w:val="subscript"/>
                <w:lang w:val="fr-FR"/>
              </w:rPr>
              <w:t>0</w:t>
            </w:r>
            <w:r w:rsidRPr="00AB421C">
              <w:rPr>
                <w:lang w:val="fr-FR"/>
              </w:rPr>
              <w:t>) (m³/h)</w:t>
            </w:r>
          </w:p>
        </w:tc>
        <w:tc>
          <w:tcPr>
            <w:tcW w:w="947" w:type="pct"/>
            <w:gridSpan w:val="2"/>
            <w:shd w:val="clear" w:color="auto" w:fill="D6E3BC" w:themeFill="accent3" w:themeFillTint="66"/>
            <w:vAlign w:val="center"/>
          </w:tcPr>
          <w:p w14:paraId="0D0352BB" w14:textId="77777777" w:rsidR="00AF69C8" w:rsidRDefault="00F732FD" w:rsidP="001E4698">
            <w:pPr>
              <w:pStyle w:val="P68B1DB1-Standaard4"/>
              <w:jc w:val="center"/>
            </w:pPr>
            <w:r>
              <w:t>L</w:t>
            </w:r>
            <w:r>
              <w:rPr>
                <w:vertAlign w:val="subscript"/>
              </w:rPr>
              <w:t>0</w:t>
            </w:r>
          </w:p>
        </w:tc>
        <w:tc>
          <w:tcPr>
            <w:tcW w:w="832" w:type="pct"/>
            <w:shd w:val="clear" w:color="auto" w:fill="D6E3BC" w:themeFill="accent3" w:themeFillTint="66"/>
            <w:vAlign w:val="center"/>
          </w:tcPr>
          <w:p w14:paraId="538988A7" w14:textId="77777777" w:rsidR="00AF69C8" w:rsidRDefault="00F732FD" w:rsidP="001E4698">
            <w:pPr>
              <w:pStyle w:val="P68B1DB1-Standaard4"/>
              <w:jc w:val="center"/>
            </w:pPr>
            <w:proofErr w:type="spellStart"/>
            <w:r>
              <w:t>Valeur</w:t>
            </w:r>
            <w:proofErr w:type="spellEnd"/>
            <w:r>
              <w:t xml:space="preserve"> U</w:t>
            </w:r>
          </w:p>
        </w:tc>
      </w:tr>
      <w:tr w:rsidR="00AF69C8" w14:paraId="6FED2A1D" w14:textId="77777777" w:rsidTr="00C3447F">
        <w:trPr>
          <w:trHeight w:val="340"/>
        </w:trPr>
        <w:tc>
          <w:tcPr>
            <w:tcW w:w="526" w:type="pct"/>
            <w:vMerge/>
            <w:vAlign w:val="center"/>
            <w:hideMark/>
          </w:tcPr>
          <w:p w14:paraId="326933AA" w14:textId="77777777" w:rsidR="00AF69C8" w:rsidRDefault="00AF69C8" w:rsidP="001E4698">
            <w:pPr>
              <w:jc w:val="center"/>
              <w:rPr>
                <w:rFonts w:cs="Arial"/>
                <w:color w:val="000000"/>
              </w:rPr>
            </w:pPr>
          </w:p>
        </w:tc>
        <w:tc>
          <w:tcPr>
            <w:tcW w:w="1280" w:type="pct"/>
            <w:vMerge/>
            <w:vAlign w:val="center"/>
            <w:hideMark/>
          </w:tcPr>
          <w:p w14:paraId="08EFC2D9" w14:textId="77777777" w:rsidR="00AF69C8" w:rsidRDefault="00AF69C8" w:rsidP="001E4698">
            <w:pPr>
              <w:jc w:val="center"/>
              <w:rPr>
                <w:rFonts w:cs="Arial"/>
                <w:color w:val="000000"/>
              </w:rPr>
            </w:pPr>
          </w:p>
        </w:tc>
        <w:tc>
          <w:tcPr>
            <w:tcW w:w="707" w:type="pct"/>
            <w:shd w:val="clear" w:color="auto" w:fill="D6E3BC" w:themeFill="accent3" w:themeFillTint="66"/>
            <w:vAlign w:val="center"/>
          </w:tcPr>
          <w:p w14:paraId="7112BA3F" w14:textId="77777777" w:rsidR="00AF69C8" w:rsidRDefault="00F732FD" w:rsidP="001E4698">
            <w:pPr>
              <w:pStyle w:val="P68B1DB1-Standaard4"/>
              <w:jc w:val="center"/>
            </w:pPr>
            <w:r>
              <w:t>q1</w:t>
            </w:r>
            <w:r>
              <w:rPr>
                <w:vertAlign w:val="subscript"/>
              </w:rPr>
              <w:t>, 2Pa</w:t>
            </w:r>
            <w:r>
              <w:t xml:space="preserve"> par m</w:t>
            </w:r>
          </w:p>
        </w:tc>
        <w:tc>
          <w:tcPr>
            <w:tcW w:w="709" w:type="pct"/>
            <w:shd w:val="clear" w:color="auto" w:fill="D6E3BC" w:themeFill="accent3" w:themeFillTint="66"/>
            <w:vAlign w:val="center"/>
          </w:tcPr>
          <w:p w14:paraId="768004A9" w14:textId="77777777" w:rsidR="00AF69C8" w:rsidRDefault="00F732FD" w:rsidP="001E4698">
            <w:pPr>
              <w:pStyle w:val="P68B1DB1-Standaard4"/>
              <w:jc w:val="center"/>
            </w:pPr>
            <w:r>
              <w:t>q1</w:t>
            </w:r>
            <w:r>
              <w:rPr>
                <w:vertAlign w:val="subscript"/>
              </w:rPr>
              <w:t>, 10Pa</w:t>
            </w:r>
            <w:r>
              <w:t xml:space="preserve"> par m</w:t>
            </w:r>
          </w:p>
        </w:tc>
        <w:tc>
          <w:tcPr>
            <w:tcW w:w="473" w:type="pct"/>
            <w:shd w:val="clear" w:color="auto" w:fill="D6E3BC" w:themeFill="accent3" w:themeFillTint="66"/>
            <w:vAlign w:val="center"/>
          </w:tcPr>
          <w:p w14:paraId="283FB850" w14:textId="77777777" w:rsidR="00AF69C8" w:rsidRDefault="00F732FD" w:rsidP="001E4698">
            <w:pPr>
              <w:pStyle w:val="P68B1DB1-Standaard4"/>
              <w:jc w:val="center"/>
            </w:pPr>
            <w:r>
              <w:t>A 2 Pa (500mm)</w:t>
            </w:r>
          </w:p>
        </w:tc>
        <w:tc>
          <w:tcPr>
            <w:tcW w:w="473" w:type="pct"/>
            <w:shd w:val="clear" w:color="auto" w:fill="D6E3BC" w:themeFill="accent3" w:themeFillTint="66"/>
            <w:vAlign w:val="center"/>
          </w:tcPr>
          <w:p w14:paraId="2F8EA4B6" w14:textId="77777777" w:rsidR="00AF69C8" w:rsidRDefault="00F732FD" w:rsidP="001E4698">
            <w:pPr>
              <w:pStyle w:val="P68B1DB1-Standaard4"/>
              <w:jc w:val="center"/>
            </w:pPr>
            <w:r>
              <w:t>A 10 Pa (500mm)</w:t>
            </w:r>
          </w:p>
        </w:tc>
        <w:tc>
          <w:tcPr>
            <w:tcW w:w="832" w:type="pct"/>
            <w:shd w:val="clear" w:color="auto" w:fill="D6E3BC" w:themeFill="accent3" w:themeFillTint="66"/>
            <w:vAlign w:val="center"/>
          </w:tcPr>
          <w:p w14:paraId="0E51B72E" w14:textId="77777777" w:rsidR="00AF69C8" w:rsidRDefault="00F732FD" w:rsidP="001E4698">
            <w:pPr>
              <w:pStyle w:val="P68B1DB1-Standaard4"/>
              <w:jc w:val="center"/>
            </w:pPr>
            <w:r>
              <w:t>W/m2/K</w:t>
            </w:r>
          </w:p>
        </w:tc>
      </w:tr>
      <w:tr w:rsidR="00AF69C8" w14:paraId="3D7546A7" w14:textId="77777777" w:rsidTr="00C3447F">
        <w:trPr>
          <w:trHeight w:val="241"/>
        </w:trPr>
        <w:tc>
          <w:tcPr>
            <w:tcW w:w="526" w:type="pct"/>
            <w:shd w:val="clear" w:color="auto" w:fill="auto"/>
            <w:noWrap/>
            <w:vAlign w:val="center"/>
            <w:hideMark/>
          </w:tcPr>
          <w:p w14:paraId="78758288" w14:textId="77777777" w:rsidR="00AF69C8" w:rsidRDefault="00F732FD" w:rsidP="001E4698">
            <w:pPr>
              <w:jc w:val="center"/>
              <w:rPr>
                <w:rStyle w:val="CarMarque"/>
              </w:rPr>
            </w:pPr>
            <w:r>
              <w:rPr>
                <w:rStyle w:val="CarMarque"/>
              </w:rPr>
              <w:t>Medio</w:t>
            </w:r>
          </w:p>
        </w:tc>
        <w:tc>
          <w:tcPr>
            <w:tcW w:w="1280" w:type="pct"/>
            <w:shd w:val="clear" w:color="auto" w:fill="auto"/>
            <w:noWrap/>
            <w:vAlign w:val="center"/>
            <w:hideMark/>
          </w:tcPr>
          <w:p w14:paraId="4F1DA01B" w14:textId="77777777" w:rsidR="00AF69C8" w:rsidRDefault="00F732FD" w:rsidP="001E4698">
            <w:pPr>
              <w:pStyle w:val="P68B1DB1-Standaard4"/>
              <w:jc w:val="center"/>
            </w:pPr>
            <w:r>
              <w:t>60 – 115</w:t>
            </w:r>
          </w:p>
        </w:tc>
        <w:tc>
          <w:tcPr>
            <w:tcW w:w="707" w:type="pct"/>
            <w:vAlign w:val="center"/>
          </w:tcPr>
          <w:p w14:paraId="3E93F9A9" w14:textId="77777777" w:rsidR="00AF69C8" w:rsidRDefault="00F732FD" w:rsidP="001E4698">
            <w:pPr>
              <w:pStyle w:val="P68B1DB1-Standaard4"/>
              <w:jc w:val="center"/>
            </w:pPr>
            <w:r>
              <w:t>68</w:t>
            </w:r>
          </w:p>
        </w:tc>
        <w:tc>
          <w:tcPr>
            <w:tcW w:w="709" w:type="pct"/>
            <w:vAlign w:val="center"/>
          </w:tcPr>
          <w:p w14:paraId="4DDD97AB" w14:textId="77777777" w:rsidR="00AF69C8" w:rsidRDefault="00F732FD" w:rsidP="001E4698">
            <w:pPr>
              <w:pStyle w:val="P68B1DB1-Standaard4"/>
              <w:jc w:val="center"/>
            </w:pPr>
            <w:r>
              <w:t>89</w:t>
            </w:r>
          </w:p>
        </w:tc>
        <w:tc>
          <w:tcPr>
            <w:tcW w:w="473" w:type="pct"/>
            <w:vAlign w:val="center"/>
          </w:tcPr>
          <w:p w14:paraId="49105BB4" w14:textId="77777777" w:rsidR="00AF69C8" w:rsidRDefault="00F732FD" w:rsidP="001E4698">
            <w:pPr>
              <w:pStyle w:val="P68B1DB1-Standaard4"/>
              <w:jc w:val="center"/>
            </w:pPr>
            <w:r>
              <w:t>0,2</w:t>
            </w:r>
          </w:p>
        </w:tc>
        <w:tc>
          <w:tcPr>
            <w:tcW w:w="473" w:type="pct"/>
            <w:vAlign w:val="center"/>
          </w:tcPr>
          <w:p w14:paraId="139AE767" w14:textId="77777777" w:rsidR="00AF69C8" w:rsidRDefault="00F732FD" w:rsidP="001E4698">
            <w:pPr>
              <w:pStyle w:val="P68B1DB1-Standaard4"/>
              <w:jc w:val="center"/>
            </w:pPr>
            <w:r>
              <w:t>0,2</w:t>
            </w:r>
          </w:p>
        </w:tc>
        <w:tc>
          <w:tcPr>
            <w:tcW w:w="832" w:type="pct"/>
            <w:vAlign w:val="center"/>
          </w:tcPr>
          <w:p w14:paraId="38AC1A2F" w14:textId="77777777" w:rsidR="00AF69C8" w:rsidRDefault="00F732FD" w:rsidP="001E4698">
            <w:pPr>
              <w:pStyle w:val="P68B1DB1-Standaard4"/>
              <w:jc w:val="center"/>
            </w:pPr>
            <w:r>
              <w:t>4,12</w:t>
            </w:r>
          </w:p>
        </w:tc>
      </w:tr>
      <w:tr w:rsidR="00AF69C8" w14:paraId="7CC71375" w14:textId="77777777" w:rsidTr="00C3447F">
        <w:trPr>
          <w:trHeight w:val="241"/>
        </w:trPr>
        <w:tc>
          <w:tcPr>
            <w:tcW w:w="526" w:type="pct"/>
            <w:shd w:val="clear" w:color="auto" w:fill="auto"/>
            <w:noWrap/>
            <w:vAlign w:val="center"/>
            <w:hideMark/>
          </w:tcPr>
          <w:p w14:paraId="57245CBE" w14:textId="77777777" w:rsidR="00AF69C8" w:rsidRDefault="00F732FD" w:rsidP="001E4698">
            <w:pPr>
              <w:jc w:val="center"/>
              <w:rPr>
                <w:rStyle w:val="CarMarque"/>
              </w:rPr>
            </w:pPr>
            <w:r>
              <w:rPr>
                <w:rStyle w:val="CarMarque"/>
              </w:rPr>
              <w:t>Alto</w:t>
            </w:r>
          </w:p>
        </w:tc>
        <w:tc>
          <w:tcPr>
            <w:tcW w:w="1280" w:type="pct"/>
            <w:shd w:val="clear" w:color="auto" w:fill="auto"/>
            <w:noWrap/>
            <w:vAlign w:val="center"/>
            <w:hideMark/>
          </w:tcPr>
          <w:p w14:paraId="2906CA54" w14:textId="77777777" w:rsidR="00AF69C8" w:rsidRDefault="00F732FD" w:rsidP="001E4698">
            <w:pPr>
              <w:pStyle w:val="P68B1DB1-Standaard4"/>
              <w:jc w:val="center"/>
            </w:pPr>
            <w:r>
              <w:t>110* – 165</w:t>
            </w:r>
          </w:p>
        </w:tc>
        <w:tc>
          <w:tcPr>
            <w:tcW w:w="707" w:type="pct"/>
            <w:vAlign w:val="center"/>
          </w:tcPr>
          <w:p w14:paraId="048CC22D" w14:textId="77777777" w:rsidR="00AF69C8" w:rsidRDefault="00F732FD" w:rsidP="001E4698">
            <w:pPr>
              <w:pStyle w:val="P68B1DB1-Standaard4"/>
              <w:jc w:val="center"/>
            </w:pPr>
            <w:r>
              <w:t>68</w:t>
            </w:r>
          </w:p>
        </w:tc>
        <w:tc>
          <w:tcPr>
            <w:tcW w:w="709" w:type="pct"/>
            <w:vAlign w:val="center"/>
          </w:tcPr>
          <w:p w14:paraId="2701DAAB" w14:textId="77777777" w:rsidR="00AF69C8" w:rsidRDefault="00F732FD" w:rsidP="001E4698">
            <w:pPr>
              <w:pStyle w:val="P68B1DB1-Standaard4"/>
              <w:jc w:val="center"/>
            </w:pPr>
            <w:r>
              <w:t>89</w:t>
            </w:r>
          </w:p>
        </w:tc>
        <w:tc>
          <w:tcPr>
            <w:tcW w:w="473" w:type="pct"/>
            <w:vAlign w:val="center"/>
          </w:tcPr>
          <w:p w14:paraId="0D2E8CF1" w14:textId="77777777" w:rsidR="00AF69C8" w:rsidRDefault="00F732FD" w:rsidP="001E4698">
            <w:pPr>
              <w:pStyle w:val="P68B1DB1-Standaard4"/>
              <w:jc w:val="center"/>
            </w:pPr>
            <w:r>
              <w:t>0,2</w:t>
            </w:r>
          </w:p>
        </w:tc>
        <w:tc>
          <w:tcPr>
            <w:tcW w:w="473" w:type="pct"/>
            <w:vAlign w:val="center"/>
          </w:tcPr>
          <w:p w14:paraId="4DE1C394" w14:textId="77777777" w:rsidR="00AF69C8" w:rsidRDefault="00F732FD" w:rsidP="001E4698">
            <w:pPr>
              <w:pStyle w:val="P68B1DB1-Standaard4"/>
              <w:jc w:val="center"/>
            </w:pPr>
            <w:r>
              <w:t>0,2</w:t>
            </w:r>
          </w:p>
        </w:tc>
        <w:tc>
          <w:tcPr>
            <w:tcW w:w="832" w:type="pct"/>
            <w:vAlign w:val="center"/>
          </w:tcPr>
          <w:p w14:paraId="6918F049" w14:textId="77777777" w:rsidR="00AF69C8" w:rsidRDefault="00F732FD" w:rsidP="001E4698">
            <w:pPr>
              <w:pStyle w:val="P68B1DB1-Standaard4"/>
              <w:jc w:val="center"/>
            </w:pPr>
            <w:r>
              <w:t>3,60</w:t>
            </w:r>
          </w:p>
        </w:tc>
      </w:tr>
      <w:tr w:rsidR="00AF69C8" w14:paraId="1D73919F" w14:textId="77777777" w:rsidTr="00C3447F">
        <w:trPr>
          <w:trHeight w:val="241"/>
        </w:trPr>
        <w:tc>
          <w:tcPr>
            <w:tcW w:w="526" w:type="pct"/>
            <w:shd w:val="clear" w:color="auto" w:fill="auto"/>
            <w:noWrap/>
            <w:vAlign w:val="center"/>
            <w:hideMark/>
          </w:tcPr>
          <w:p w14:paraId="7C4261C4" w14:textId="77777777" w:rsidR="00AF69C8" w:rsidRDefault="00F732FD" w:rsidP="001E4698">
            <w:pPr>
              <w:jc w:val="center"/>
              <w:rPr>
                <w:rStyle w:val="CarMarque"/>
              </w:rPr>
            </w:pPr>
            <w:r>
              <w:rPr>
                <w:rStyle w:val="CarMarque"/>
              </w:rPr>
              <w:t>Largo</w:t>
            </w:r>
          </w:p>
        </w:tc>
        <w:tc>
          <w:tcPr>
            <w:tcW w:w="1280" w:type="pct"/>
            <w:shd w:val="clear" w:color="auto" w:fill="auto"/>
            <w:noWrap/>
            <w:vAlign w:val="center"/>
            <w:hideMark/>
          </w:tcPr>
          <w:p w14:paraId="19AD9C8F" w14:textId="77777777" w:rsidR="00AF69C8" w:rsidRDefault="00F732FD" w:rsidP="001E4698">
            <w:pPr>
              <w:pStyle w:val="P68B1DB1-Standaard4"/>
              <w:jc w:val="center"/>
            </w:pPr>
            <w:r>
              <w:t>160* – 215</w:t>
            </w:r>
          </w:p>
        </w:tc>
        <w:tc>
          <w:tcPr>
            <w:tcW w:w="707" w:type="pct"/>
            <w:vAlign w:val="center"/>
          </w:tcPr>
          <w:p w14:paraId="345BD345" w14:textId="77777777" w:rsidR="00AF69C8" w:rsidRDefault="00F732FD" w:rsidP="001E4698">
            <w:pPr>
              <w:pStyle w:val="P68B1DB1-Standaard4"/>
              <w:jc w:val="center"/>
            </w:pPr>
            <w:r>
              <w:t>68</w:t>
            </w:r>
          </w:p>
        </w:tc>
        <w:tc>
          <w:tcPr>
            <w:tcW w:w="709" w:type="pct"/>
            <w:vAlign w:val="center"/>
          </w:tcPr>
          <w:p w14:paraId="41C4D62F" w14:textId="77777777" w:rsidR="00AF69C8" w:rsidRDefault="00F732FD" w:rsidP="001E4698">
            <w:pPr>
              <w:pStyle w:val="P68B1DB1-Standaard4"/>
              <w:jc w:val="center"/>
            </w:pPr>
            <w:r>
              <w:t>89</w:t>
            </w:r>
          </w:p>
        </w:tc>
        <w:tc>
          <w:tcPr>
            <w:tcW w:w="473" w:type="pct"/>
            <w:vAlign w:val="center"/>
          </w:tcPr>
          <w:p w14:paraId="375993EE" w14:textId="77777777" w:rsidR="00AF69C8" w:rsidRDefault="00F732FD" w:rsidP="001E4698">
            <w:pPr>
              <w:pStyle w:val="P68B1DB1-Standaard4"/>
              <w:jc w:val="center"/>
            </w:pPr>
            <w:r>
              <w:t>0,2</w:t>
            </w:r>
          </w:p>
        </w:tc>
        <w:tc>
          <w:tcPr>
            <w:tcW w:w="473" w:type="pct"/>
            <w:vAlign w:val="center"/>
          </w:tcPr>
          <w:p w14:paraId="028CD68D" w14:textId="77777777" w:rsidR="00AF69C8" w:rsidRDefault="00F732FD" w:rsidP="001E4698">
            <w:pPr>
              <w:pStyle w:val="P68B1DB1-Standaard4"/>
              <w:jc w:val="center"/>
            </w:pPr>
            <w:r>
              <w:t>0,2</w:t>
            </w:r>
          </w:p>
        </w:tc>
        <w:tc>
          <w:tcPr>
            <w:tcW w:w="832" w:type="pct"/>
            <w:vAlign w:val="center"/>
          </w:tcPr>
          <w:p w14:paraId="700F7E77" w14:textId="77777777" w:rsidR="00AF69C8" w:rsidRDefault="00F732FD" w:rsidP="001E4698">
            <w:pPr>
              <w:pStyle w:val="P68B1DB1-Standaard4"/>
              <w:jc w:val="center"/>
            </w:pPr>
            <w:r>
              <w:t>3,42</w:t>
            </w:r>
          </w:p>
        </w:tc>
      </w:tr>
    </w:tbl>
    <w:p w14:paraId="75A64B03" w14:textId="77777777" w:rsidR="00AF69C8" w:rsidRPr="00AB421C" w:rsidRDefault="2CC8BABD" w:rsidP="2CC8BABD">
      <w:pPr>
        <w:rPr>
          <w:lang w:val="fr-FR"/>
        </w:rPr>
      </w:pPr>
      <w:r w:rsidRPr="00AB421C">
        <w:rPr>
          <w:lang w:val="fr-FR"/>
        </w:rPr>
        <w:t>* Également applicable à partir de 60 mm avec un profilé inférieur allongé</w:t>
      </w:r>
    </w:p>
    <w:p w14:paraId="0798B285" w14:textId="77777777" w:rsidR="00AF69C8" w:rsidRPr="00AB421C" w:rsidRDefault="00AF69C8">
      <w:pPr>
        <w:rPr>
          <w:lang w:val="fr-FR"/>
        </w:rPr>
      </w:pPr>
    </w:p>
    <w:p w14:paraId="019EEE2E" w14:textId="070F61E4" w:rsidR="00AF69C8" w:rsidRDefault="2CC8BABD" w:rsidP="2CC8BABD">
      <w:pPr>
        <w:jc w:val="left"/>
        <w:rPr>
          <w:lang w:val="fr-FR"/>
        </w:rPr>
      </w:pPr>
      <w:r w:rsidRPr="2CC8BABD">
        <w:rPr>
          <w:lang w:val="fr-FR"/>
        </w:rPr>
        <w:t xml:space="preserve">Tableau des valeurs insonorisation </w:t>
      </w:r>
      <w:proofErr w:type="spellStart"/>
      <w:r w:rsidR="005404ED" w:rsidRPr="005404ED">
        <w:rPr>
          <w:rStyle w:val="MerkChar"/>
          <w:lang w:val="fr-FR"/>
        </w:rPr>
        <w:t>TronicSkyVent</w:t>
      </w:r>
      <w:proofErr w:type="spellEnd"/>
      <w:r w:rsidR="005404ED" w:rsidRPr="005404ED">
        <w:rPr>
          <w:rStyle w:val="MerkChar"/>
          <w:lang w:val="fr-FR"/>
        </w:rPr>
        <w:t xml:space="preserve"> BE</w:t>
      </w:r>
      <w:r w:rsidRPr="2CC8BABD">
        <w:rPr>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
        <w:gridCol w:w="2398"/>
        <w:gridCol w:w="1562"/>
        <w:gridCol w:w="1562"/>
        <w:gridCol w:w="1562"/>
        <w:gridCol w:w="1558"/>
      </w:tblGrid>
      <w:tr w:rsidR="00AF69C8" w14:paraId="33C2D27A" w14:textId="77777777" w:rsidTr="0084560D">
        <w:trPr>
          <w:trHeight w:val="283"/>
        </w:trPr>
        <w:tc>
          <w:tcPr>
            <w:tcW w:w="513" w:type="pct"/>
            <w:vMerge w:val="restart"/>
            <w:shd w:val="clear" w:color="auto" w:fill="D6E3BC" w:themeFill="accent3" w:themeFillTint="66"/>
            <w:noWrap/>
            <w:vAlign w:val="center"/>
            <w:hideMark/>
          </w:tcPr>
          <w:p w14:paraId="49240832" w14:textId="77777777" w:rsidR="00AF69C8" w:rsidRDefault="00F732FD">
            <w:pPr>
              <w:pStyle w:val="P68B1DB1-Standaard4"/>
              <w:jc w:val="center"/>
            </w:pPr>
            <w:r>
              <w:t>Type</w:t>
            </w:r>
          </w:p>
        </w:tc>
        <w:tc>
          <w:tcPr>
            <w:tcW w:w="1245" w:type="pct"/>
            <w:vMerge w:val="restart"/>
            <w:shd w:val="clear" w:color="auto" w:fill="D6E3BC" w:themeFill="accent3" w:themeFillTint="66"/>
            <w:noWrap/>
            <w:vAlign w:val="center"/>
            <w:hideMark/>
          </w:tcPr>
          <w:p w14:paraId="065B3A75" w14:textId="77777777" w:rsidR="00AF69C8" w:rsidRDefault="2CC8BABD" w:rsidP="2CC8BABD">
            <w:pPr>
              <w:pStyle w:val="P68B1DB1-Standaard4"/>
              <w:jc w:val="center"/>
              <w:rPr>
                <w:lang w:val="en-US"/>
              </w:rPr>
            </w:pPr>
            <w:proofErr w:type="spellStart"/>
            <w:r w:rsidRPr="2CC8BABD">
              <w:rPr>
                <w:lang w:val="en-US"/>
              </w:rPr>
              <w:t>Profondeur</w:t>
            </w:r>
            <w:proofErr w:type="spellEnd"/>
            <w:r w:rsidRPr="2CC8BABD">
              <w:rPr>
                <w:lang w:val="en-US"/>
              </w:rPr>
              <w:t xml:space="preserve"> </w:t>
            </w:r>
            <w:proofErr w:type="spellStart"/>
            <w:r w:rsidRPr="2CC8BABD">
              <w:rPr>
                <w:lang w:val="en-US"/>
              </w:rPr>
              <w:t>d'installation</w:t>
            </w:r>
            <w:proofErr w:type="spellEnd"/>
          </w:p>
          <w:p w14:paraId="74DE4822" w14:textId="77777777" w:rsidR="00AF69C8" w:rsidRDefault="00F732FD">
            <w:pPr>
              <w:pStyle w:val="P68B1DB1-Standaard4"/>
              <w:jc w:val="center"/>
            </w:pPr>
            <w:r>
              <w:t>(mm)</w:t>
            </w:r>
          </w:p>
        </w:tc>
        <w:tc>
          <w:tcPr>
            <w:tcW w:w="3242" w:type="pct"/>
            <w:gridSpan w:val="4"/>
            <w:shd w:val="clear" w:color="auto" w:fill="D6E3BC" w:themeFill="accent3" w:themeFillTint="66"/>
            <w:noWrap/>
            <w:vAlign w:val="center"/>
            <w:hideMark/>
          </w:tcPr>
          <w:p w14:paraId="0E8231F2" w14:textId="77777777" w:rsidR="00AF69C8" w:rsidRDefault="2CC8BABD" w:rsidP="2CC8BABD">
            <w:pPr>
              <w:pStyle w:val="P68B1DB1-Standaard4"/>
              <w:jc w:val="center"/>
              <w:rPr>
                <w:lang w:val="en-US"/>
              </w:rPr>
            </w:pPr>
            <w:proofErr w:type="spellStart"/>
            <w:r w:rsidRPr="2CC8BABD">
              <w:rPr>
                <w:lang w:val="en-US"/>
              </w:rPr>
              <w:t>Finition</w:t>
            </w:r>
            <w:proofErr w:type="spellEnd"/>
            <w:r w:rsidRPr="2CC8BABD">
              <w:rPr>
                <w:lang w:val="en-US"/>
              </w:rPr>
              <w:t xml:space="preserve"> standard</w:t>
            </w:r>
          </w:p>
        </w:tc>
      </w:tr>
      <w:tr w:rsidR="00AF69C8" w:rsidRPr="001427D9" w14:paraId="774E8D0A" w14:textId="77777777" w:rsidTr="00C3447F">
        <w:trPr>
          <w:trHeight w:val="340"/>
        </w:trPr>
        <w:tc>
          <w:tcPr>
            <w:tcW w:w="513" w:type="pct"/>
            <w:vMerge/>
            <w:vAlign w:val="center"/>
            <w:hideMark/>
          </w:tcPr>
          <w:p w14:paraId="541169B0" w14:textId="77777777" w:rsidR="00AF69C8" w:rsidRDefault="00AF69C8">
            <w:pPr>
              <w:jc w:val="center"/>
              <w:rPr>
                <w:rFonts w:cs="Arial"/>
                <w:color w:val="000000"/>
              </w:rPr>
            </w:pPr>
          </w:p>
        </w:tc>
        <w:tc>
          <w:tcPr>
            <w:tcW w:w="1245" w:type="pct"/>
            <w:vMerge/>
            <w:vAlign w:val="center"/>
            <w:hideMark/>
          </w:tcPr>
          <w:p w14:paraId="3B1056D6" w14:textId="77777777" w:rsidR="00AF69C8" w:rsidRDefault="00AF69C8">
            <w:pPr>
              <w:jc w:val="center"/>
              <w:rPr>
                <w:rFonts w:cs="Arial"/>
                <w:color w:val="000000"/>
              </w:rPr>
            </w:pPr>
          </w:p>
        </w:tc>
        <w:tc>
          <w:tcPr>
            <w:tcW w:w="811" w:type="pct"/>
            <w:shd w:val="clear" w:color="auto" w:fill="D6E3BC" w:themeFill="accent3" w:themeFillTint="66"/>
            <w:noWrap/>
            <w:vAlign w:val="center"/>
            <w:hideMark/>
          </w:tcPr>
          <w:p w14:paraId="7CE017AC" w14:textId="77777777" w:rsidR="00AF69C8" w:rsidRDefault="00F732FD">
            <w:pPr>
              <w:pStyle w:val="P68B1DB1-Standaard4"/>
              <w:jc w:val="center"/>
            </w:pPr>
            <w:proofErr w:type="spellStart"/>
            <w:r>
              <w:t>Position</w:t>
            </w:r>
            <w:proofErr w:type="spellEnd"/>
          </w:p>
        </w:tc>
        <w:tc>
          <w:tcPr>
            <w:tcW w:w="811" w:type="pct"/>
            <w:shd w:val="clear" w:color="auto" w:fill="D6E3BC" w:themeFill="accent3" w:themeFillTint="66"/>
            <w:vAlign w:val="center"/>
            <w:hideMark/>
          </w:tcPr>
          <w:p w14:paraId="3BF909B6" w14:textId="77777777" w:rsidR="00AF69C8" w:rsidRPr="00AB421C" w:rsidRDefault="2CC8BABD" w:rsidP="2CC8BABD">
            <w:pPr>
              <w:pStyle w:val="P68B1DB1-Standaard4"/>
              <w:jc w:val="center"/>
              <w:rPr>
                <w:lang w:val="de-DE"/>
              </w:rPr>
            </w:pPr>
            <w:proofErr w:type="spellStart"/>
            <w:r w:rsidRPr="00AB421C">
              <w:rPr>
                <w:lang w:val="de-DE"/>
              </w:rPr>
              <w:t>D</w:t>
            </w:r>
            <w:r w:rsidRPr="00AB421C">
              <w:rPr>
                <w:vertAlign w:val="subscript"/>
                <w:lang w:val="de-DE"/>
              </w:rPr>
              <w:t>n,e,W</w:t>
            </w:r>
            <w:proofErr w:type="spellEnd"/>
            <w:r w:rsidRPr="00AB421C">
              <w:rPr>
                <w:lang w:val="de-DE"/>
              </w:rPr>
              <w:t xml:space="preserve"> (</w:t>
            </w:r>
            <w:proofErr w:type="spellStart"/>
            <w:r w:rsidRPr="00AB421C">
              <w:rPr>
                <w:lang w:val="de-DE"/>
              </w:rPr>
              <w:t>C;C</w:t>
            </w:r>
            <w:r w:rsidRPr="00AB421C">
              <w:rPr>
                <w:vertAlign w:val="subscript"/>
                <w:lang w:val="de-DE"/>
              </w:rPr>
              <w:t>tr</w:t>
            </w:r>
            <w:proofErr w:type="spellEnd"/>
            <w:r w:rsidRPr="00AB421C">
              <w:rPr>
                <w:lang w:val="de-DE"/>
              </w:rPr>
              <w:t>)</w:t>
            </w:r>
            <w:r w:rsidR="00F732FD" w:rsidRPr="00AB421C">
              <w:rPr>
                <w:lang w:val="de-DE"/>
              </w:rPr>
              <w:br/>
            </w:r>
            <w:r w:rsidRPr="00AB421C">
              <w:rPr>
                <w:lang w:val="de-DE"/>
              </w:rPr>
              <w:t>en dB</w:t>
            </w:r>
          </w:p>
        </w:tc>
        <w:tc>
          <w:tcPr>
            <w:tcW w:w="811" w:type="pct"/>
            <w:shd w:val="clear" w:color="auto" w:fill="D6E3BC" w:themeFill="accent3" w:themeFillTint="66"/>
            <w:vAlign w:val="center"/>
          </w:tcPr>
          <w:p w14:paraId="5BF65811" w14:textId="77777777" w:rsidR="00AF69C8" w:rsidRDefault="00F732FD">
            <w:pPr>
              <w:pStyle w:val="P68B1DB1-Standaard4"/>
              <w:jc w:val="center"/>
            </w:pPr>
            <w:proofErr w:type="spellStart"/>
            <w:r>
              <w:t>Position</w:t>
            </w:r>
            <w:proofErr w:type="spellEnd"/>
          </w:p>
        </w:tc>
        <w:tc>
          <w:tcPr>
            <w:tcW w:w="811" w:type="pct"/>
            <w:shd w:val="clear" w:color="auto" w:fill="D6E3BC" w:themeFill="accent3" w:themeFillTint="66"/>
            <w:vAlign w:val="center"/>
          </w:tcPr>
          <w:p w14:paraId="149D72EC" w14:textId="77777777" w:rsidR="00AF69C8" w:rsidRPr="00AB421C" w:rsidRDefault="2CC8BABD" w:rsidP="2CC8BABD">
            <w:pPr>
              <w:pStyle w:val="P68B1DB1-Standaard4"/>
              <w:jc w:val="center"/>
              <w:rPr>
                <w:lang w:val="de-DE"/>
              </w:rPr>
            </w:pPr>
            <w:proofErr w:type="spellStart"/>
            <w:r w:rsidRPr="00AB421C">
              <w:rPr>
                <w:lang w:val="de-DE"/>
              </w:rPr>
              <w:t>D</w:t>
            </w:r>
            <w:r w:rsidRPr="00AB421C">
              <w:rPr>
                <w:vertAlign w:val="subscript"/>
                <w:lang w:val="de-DE"/>
              </w:rPr>
              <w:t>n,e,W</w:t>
            </w:r>
            <w:proofErr w:type="spellEnd"/>
            <w:r w:rsidRPr="00AB421C">
              <w:rPr>
                <w:lang w:val="de-DE"/>
              </w:rPr>
              <w:t xml:space="preserve"> (</w:t>
            </w:r>
            <w:proofErr w:type="spellStart"/>
            <w:r w:rsidRPr="00AB421C">
              <w:rPr>
                <w:lang w:val="de-DE"/>
              </w:rPr>
              <w:t>C;C</w:t>
            </w:r>
            <w:r w:rsidRPr="00AB421C">
              <w:rPr>
                <w:vertAlign w:val="subscript"/>
                <w:lang w:val="de-DE"/>
              </w:rPr>
              <w:t>tr</w:t>
            </w:r>
            <w:proofErr w:type="spellEnd"/>
            <w:r w:rsidRPr="00AB421C">
              <w:rPr>
                <w:lang w:val="de-DE"/>
              </w:rPr>
              <w:t>)</w:t>
            </w:r>
            <w:r w:rsidR="00F732FD" w:rsidRPr="00AB421C">
              <w:rPr>
                <w:lang w:val="de-DE"/>
              </w:rPr>
              <w:br/>
            </w:r>
            <w:r w:rsidRPr="00AB421C">
              <w:rPr>
                <w:lang w:val="de-DE"/>
              </w:rPr>
              <w:t>en dB</w:t>
            </w:r>
          </w:p>
        </w:tc>
      </w:tr>
      <w:tr w:rsidR="00AF69C8" w14:paraId="6B9156F0" w14:textId="77777777" w:rsidTr="00C3447F">
        <w:trPr>
          <w:trHeight w:val="263"/>
        </w:trPr>
        <w:tc>
          <w:tcPr>
            <w:tcW w:w="513" w:type="pct"/>
            <w:shd w:val="clear" w:color="auto" w:fill="auto"/>
            <w:noWrap/>
            <w:vAlign w:val="center"/>
            <w:hideMark/>
          </w:tcPr>
          <w:p w14:paraId="1B85B983" w14:textId="77777777" w:rsidR="00AF69C8" w:rsidRDefault="00F732FD">
            <w:pPr>
              <w:jc w:val="center"/>
              <w:rPr>
                <w:rStyle w:val="CarMarque"/>
              </w:rPr>
            </w:pPr>
            <w:r>
              <w:rPr>
                <w:rStyle w:val="CarMarque"/>
              </w:rPr>
              <w:t>Medio</w:t>
            </w:r>
          </w:p>
        </w:tc>
        <w:tc>
          <w:tcPr>
            <w:tcW w:w="1245" w:type="pct"/>
            <w:shd w:val="clear" w:color="auto" w:fill="auto"/>
            <w:noWrap/>
            <w:vAlign w:val="center"/>
            <w:hideMark/>
          </w:tcPr>
          <w:p w14:paraId="742A9A3F" w14:textId="77777777" w:rsidR="00AF69C8" w:rsidRDefault="00F732FD">
            <w:pPr>
              <w:pStyle w:val="P68B1DB1-Standaard4"/>
              <w:jc w:val="center"/>
            </w:pPr>
            <w:r>
              <w:t>60 – 115</w:t>
            </w:r>
          </w:p>
        </w:tc>
        <w:tc>
          <w:tcPr>
            <w:tcW w:w="811" w:type="pct"/>
            <w:shd w:val="clear" w:color="auto" w:fill="auto"/>
            <w:noWrap/>
            <w:vAlign w:val="bottom"/>
            <w:hideMark/>
          </w:tcPr>
          <w:p w14:paraId="216C63EA"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11" w:type="pct"/>
            <w:shd w:val="clear" w:color="auto" w:fill="auto"/>
            <w:noWrap/>
            <w:vAlign w:val="bottom"/>
            <w:hideMark/>
          </w:tcPr>
          <w:p w14:paraId="5641D9C1" w14:textId="77777777" w:rsidR="00AF69C8" w:rsidRDefault="2CC8BABD" w:rsidP="2CC8BABD">
            <w:pPr>
              <w:pStyle w:val="P68B1DB1-Standaard4"/>
              <w:jc w:val="center"/>
              <w:rPr>
                <w:lang w:val="en-US"/>
              </w:rPr>
            </w:pPr>
            <w:r w:rsidRPr="2CC8BABD">
              <w:rPr>
                <w:lang w:val="en-US"/>
              </w:rPr>
              <w:t>31 (-1;-2)</w:t>
            </w:r>
          </w:p>
        </w:tc>
        <w:tc>
          <w:tcPr>
            <w:tcW w:w="811" w:type="pct"/>
          </w:tcPr>
          <w:p w14:paraId="374BA179" w14:textId="77777777" w:rsidR="00AF69C8" w:rsidRDefault="00F732FD">
            <w:pPr>
              <w:pStyle w:val="P68B1DB1-Standaard4"/>
              <w:jc w:val="center"/>
            </w:pPr>
            <w:r>
              <w:t>Fermé</w:t>
            </w:r>
          </w:p>
        </w:tc>
        <w:tc>
          <w:tcPr>
            <w:tcW w:w="811" w:type="pct"/>
            <w:vAlign w:val="bottom"/>
          </w:tcPr>
          <w:p w14:paraId="6B7E690F" w14:textId="77777777" w:rsidR="00AF69C8" w:rsidRDefault="2CC8BABD" w:rsidP="2CC8BABD">
            <w:pPr>
              <w:pStyle w:val="P68B1DB1-Standaard4"/>
              <w:jc w:val="center"/>
              <w:rPr>
                <w:lang w:val="en-US"/>
              </w:rPr>
            </w:pPr>
            <w:r w:rsidRPr="2CC8BABD">
              <w:rPr>
                <w:lang w:val="en-US"/>
              </w:rPr>
              <w:t>47 (0;-2)</w:t>
            </w:r>
          </w:p>
        </w:tc>
      </w:tr>
      <w:tr w:rsidR="00AF69C8" w14:paraId="2BE507FA" w14:textId="77777777" w:rsidTr="00C3447F">
        <w:trPr>
          <w:trHeight w:val="263"/>
        </w:trPr>
        <w:tc>
          <w:tcPr>
            <w:tcW w:w="513" w:type="pct"/>
            <w:shd w:val="clear" w:color="auto" w:fill="auto"/>
            <w:noWrap/>
            <w:vAlign w:val="center"/>
            <w:hideMark/>
          </w:tcPr>
          <w:p w14:paraId="41C12402" w14:textId="77777777" w:rsidR="00AF69C8" w:rsidRDefault="00F732FD">
            <w:pPr>
              <w:jc w:val="center"/>
              <w:rPr>
                <w:rStyle w:val="CarMarque"/>
              </w:rPr>
            </w:pPr>
            <w:r>
              <w:rPr>
                <w:rStyle w:val="CarMarque"/>
              </w:rPr>
              <w:t>Alto</w:t>
            </w:r>
          </w:p>
        </w:tc>
        <w:tc>
          <w:tcPr>
            <w:tcW w:w="1245" w:type="pct"/>
            <w:shd w:val="clear" w:color="auto" w:fill="auto"/>
            <w:noWrap/>
            <w:vAlign w:val="center"/>
            <w:hideMark/>
          </w:tcPr>
          <w:p w14:paraId="298F2D15" w14:textId="77777777" w:rsidR="00AF69C8" w:rsidRDefault="00F732FD">
            <w:pPr>
              <w:pStyle w:val="P68B1DB1-Standaard4"/>
              <w:jc w:val="center"/>
            </w:pPr>
            <w:r>
              <w:t>110* – 165</w:t>
            </w:r>
          </w:p>
        </w:tc>
        <w:tc>
          <w:tcPr>
            <w:tcW w:w="811" w:type="pct"/>
            <w:shd w:val="clear" w:color="auto" w:fill="auto"/>
            <w:noWrap/>
            <w:vAlign w:val="bottom"/>
            <w:hideMark/>
          </w:tcPr>
          <w:p w14:paraId="74C135A0"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11" w:type="pct"/>
            <w:shd w:val="clear" w:color="auto" w:fill="auto"/>
            <w:noWrap/>
            <w:vAlign w:val="bottom"/>
            <w:hideMark/>
          </w:tcPr>
          <w:p w14:paraId="33332167" w14:textId="77777777" w:rsidR="00AF69C8" w:rsidRDefault="2CC8BABD" w:rsidP="2CC8BABD">
            <w:pPr>
              <w:pStyle w:val="P68B1DB1-Standaard4"/>
              <w:jc w:val="center"/>
              <w:rPr>
                <w:lang w:val="en-US"/>
              </w:rPr>
            </w:pPr>
            <w:r w:rsidRPr="2CC8BABD">
              <w:rPr>
                <w:lang w:val="en-US"/>
              </w:rPr>
              <w:t>31 (-1;-2)</w:t>
            </w:r>
          </w:p>
        </w:tc>
        <w:tc>
          <w:tcPr>
            <w:tcW w:w="811" w:type="pct"/>
          </w:tcPr>
          <w:p w14:paraId="4B954402" w14:textId="77777777" w:rsidR="00AF69C8" w:rsidRDefault="00F732FD">
            <w:pPr>
              <w:pStyle w:val="P68B1DB1-Standaard4"/>
              <w:jc w:val="center"/>
            </w:pPr>
            <w:r>
              <w:t>Fermé</w:t>
            </w:r>
          </w:p>
        </w:tc>
        <w:tc>
          <w:tcPr>
            <w:tcW w:w="811" w:type="pct"/>
            <w:vAlign w:val="bottom"/>
          </w:tcPr>
          <w:p w14:paraId="385EE787" w14:textId="77777777" w:rsidR="00AF69C8" w:rsidRDefault="2CC8BABD" w:rsidP="2CC8BABD">
            <w:pPr>
              <w:pStyle w:val="P68B1DB1-Standaard4"/>
              <w:jc w:val="center"/>
              <w:rPr>
                <w:lang w:val="en-US"/>
              </w:rPr>
            </w:pPr>
            <w:r w:rsidRPr="2CC8BABD">
              <w:rPr>
                <w:lang w:val="en-US"/>
              </w:rPr>
              <w:t>47 (0;-2)</w:t>
            </w:r>
          </w:p>
        </w:tc>
      </w:tr>
      <w:tr w:rsidR="00AF69C8" w14:paraId="5A935D86" w14:textId="77777777" w:rsidTr="00C3447F">
        <w:trPr>
          <w:trHeight w:val="263"/>
        </w:trPr>
        <w:tc>
          <w:tcPr>
            <w:tcW w:w="513" w:type="pct"/>
            <w:shd w:val="clear" w:color="auto" w:fill="auto"/>
            <w:noWrap/>
            <w:vAlign w:val="center"/>
            <w:hideMark/>
          </w:tcPr>
          <w:p w14:paraId="0C6FC4CF" w14:textId="77777777" w:rsidR="00AF69C8" w:rsidRDefault="00F732FD">
            <w:pPr>
              <w:jc w:val="center"/>
              <w:rPr>
                <w:rStyle w:val="CarMarque"/>
              </w:rPr>
            </w:pPr>
            <w:r>
              <w:rPr>
                <w:rStyle w:val="CarMarque"/>
              </w:rPr>
              <w:t>Largo</w:t>
            </w:r>
          </w:p>
        </w:tc>
        <w:tc>
          <w:tcPr>
            <w:tcW w:w="1245" w:type="pct"/>
            <w:shd w:val="clear" w:color="auto" w:fill="auto"/>
            <w:noWrap/>
            <w:vAlign w:val="center"/>
            <w:hideMark/>
          </w:tcPr>
          <w:p w14:paraId="36DDFB83" w14:textId="77777777" w:rsidR="00AF69C8" w:rsidRDefault="00F732FD">
            <w:pPr>
              <w:pStyle w:val="P68B1DB1-Standaard4"/>
              <w:jc w:val="center"/>
            </w:pPr>
            <w:r>
              <w:t>160* – 215</w:t>
            </w:r>
          </w:p>
        </w:tc>
        <w:tc>
          <w:tcPr>
            <w:tcW w:w="811" w:type="pct"/>
            <w:shd w:val="clear" w:color="auto" w:fill="auto"/>
            <w:noWrap/>
            <w:vAlign w:val="bottom"/>
            <w:hideMark/>
          </w:tcPr>
          <w:p w14:paraId="7D06A0E9"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11" w:type="pct"/>
            <w:shd w:val="clear" w:color="auto" w:fill="auto"/>
            <w:noWrap/>
            <w:vAlign w:val="bottom"/>
            <w:hideMark/>
          </w:tcPr>
          <w:p w14:paraId="02580010" w14:textId="77777777" w:rsidR="00AF69C8" w:rsidRDefault="2CC8BABD" w:rsidP="2CC8BABD">
            <w:pPr>
              <w:pStyle w:val="P68B1DB1-Standaard4"/>
              <w:jc w:val="center"/>
              <w:rPr>
                <w:lang w:val="en-US"/>
              </w:rPr>
            </w:pPr>
            <w:r w:rsidRPr="2CC8BABD">
              <w:rPr>
                <w:lang w:val="en-US"/>
              </w:rPr>
              <w:t>31 (-1;-2)</w:t>
            </w:r>
          </w:p>
        </w:tc>
        <w:tc>
          <w:tcPr>
            <w:tcW w:w="811" w:type="pct"/>
          </w:tcPr>
          <w:p w14:paraId="05070B35" w14:textId="77777777" w:rsidR="00AF69C8" w:rsidRDefault="00F732FD">
            <w:pPr>
              <w:pStyle w:val="P68B1DB1-Standaard4"/>
              <w:jc w:val="center"/>
            </w:pPr>
            <w:r>
              <w:t>Fermé</w:t>
            </w:r>
          </w:p>
        </w:tc>
        <w:tc>
          <w:tcPr>
            <w:tcW w:w="811" w:type="pct"/>
            <w:vAlign w:val="bottom"/>
          </w:tcPr>
          <w:p w14:paraId="7A4595DE" w14:textId="77777777" w:rsidR="00AF69C8" w:rsidRDefault="2CC8BABD" w:rsidP="2CC8BABD">
            <w:pPr>
              <w:pStyle w:val="P68B1DB1-Standaard4"/>
              <w:jc w:val="center"/>
              <w:rPr>
                <w:lang w:val="en-US"/>
              </w:rPr>
            </w:pPr>
            <w:r w:rsidRPr="2CC8BABD">
              <w:rPr>
                <w:lang w:val="en-US"/>
              </w:rPr>
              <w:t>47 (0;-2)</w:t>
            </w:r>
          </w:p>
        </w:tc>
      </w:tr>
    </w:tbl>
    <w:p w14:paraId="6277C05C" w14:textId="77777777" w:rsidR="00AF69C8" w:rsidRPr="00AB421C" w:rsidRDefault="2CC8BABD" w:rsidP="2CC8BABD">
      <w:pPr>
        <w:rPr>
          <w:lang w:val="fr-FR"/>
        </w:rPr>
      </w:pPr>
      <w:r w:rsidRPr="00AB421C">
        <w:rPr>
          <w:lang w:val="fr-FR"/>
        </w:rPr>
        <w:t>* Également applicable à partir de 60 mm avec un profilé inférieur allongé</w:t>
      </w:r>
    </w:p>
    <w:p w14:paraId="271B6BBB" w14:textId="77777777" w:rsidR="00AF69C8" w:rsidRPr="00AB421C" w:rsidRDefault="2CC8BABD">
      <w:pPr>
        <w:rPr>
          <w:lang w:val="fr-FR"/>
        </w:rPr>
      </w:pPr>
      <w:r w:rsidRPr="00AB421C">
        <w:rPr>
          <w:lang w:val="fr-FR"/>
        </w:rPr>
        <w:t xml:space="preserve">Toutes les valeurs de bande d'octave (en dB) sont disponibles gratuitement auprès de </w:t>
      </w:r>
      <w:r w:rsidRPr="00255660">
        <w:rPr>
          <w:rStyle w:val="MerkChar"/>
          <w:lang w:val="fr-FR"/>
        </w:rPr>
        <w:t>DUCO 'Ventilation &amp; Sun Control'</w:t>
      </w:r>
      <w:r w:rsidRPr="00AB421C">
        <w:rPr>
          <w:lang w:val="fr-FR"/>
        </w:rPr>
        <w:t>.</w:t>
      </w:r>
    </w:p>
    <w:p w14:paraId="708E671F" w14:textId="77777777" w:rsidR="00AF69C8" w:rsidRPr="00AB421C" w:rsidRDefault="00AF69C8">
      <w:pPr>
        <w:jc w:val="left"/>
        <w:rPr>
          <w:lang w:val="fr-FR"/>
        </w:rPr>
      </w:pPr>
    </w:p>
    <w:p w14:paraId="75976DA1" w14:textId="3424E91A" w:rsidR="00AF69C8" w:rsidRDefault="2CC8BABD" w:rsidP="2CC8BABD">
      <w:pPr>
        <w:jc w:val="left"/>
        <w:rPr>
          <w:lang w:val="fr-FR"/>
        </w:rPr>
      </w:pPr>
      <w:r w:rsidRPr="2CC8BABD">
        <w:rPr>
          <w:lang w:val="fr-FR"/>
        </w:rPr>
        <w:t xml:space="preserve">Tableau des valeurs ventilation </w:t>
      </w:r>
      <w:proofErr w:type="spellStart"/>
      <w:r w:rsidR="005404ED" w:rsidRPr="005404ED">
        <w:rPr>
          <w:rStyle w:val="MerkChar"/>
          <w:lang w:val="fr-FR"/>
        </w:rPr>
        <w:t>TronicSkyVent</w:t>
      </w:r>
      <w:proofErr w:type="spellEnd"/>
      <w:r w:rsidR="005404ED" w:rsidRPr="005404ED">
        <w:rPr>
          <w:rStyle w:val="MerkChar"/>
          <w:lang w:val="fr-FR"/>
        </w:rPr>
        <w:t xml:space="preserve"> BE</w:t>
      </w:r>
      <w:r w:rsidR="005404ED">
        <w:rPr>
          <w:lang w:val="fr-FR"/>
        </w:rPr>
        <w:t xml:space="preserve"> </w:t>
      </w:r>
      <w:r w:rsidRPr="2CC8BABD">
        <w:rPr>
          <w:rStyle w:val="MerkChar"/>
          <w:lang w:val="fr-FR"/>
        </w:rPr>
        <w:t>A</w:t>
      </w:r>
      <w:r w:rsidR="00F732FD">
        <w:rPr>
          <w:rStyle w:val="MerkChar"/>
          <w:lang w:val="fr-FR"/>
        </w:rPr>
        <w:t>K</w:t>
      </w:r>
      <w:r w:rsidRPr="2CC8BABD">
        <w:rPr>
          <w:lang w:val="fr-FR"/>
        </w:rPr>
        <w:t>:</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
        <w:gridCol w:w="2399"/>
        <w:gridCol w:w="1325"/>
        <w:gridCol w:w="1329"/>
        <w:gridCol w:w="886"/>
        <w:gridCol w:w="888"/>
        <w:gridCol w:w="1557"/>
      </w:tblGrid>
      <w:tr w:rsidR="00AF69C8" w14:paraId="68276F46" w14:textId="77777777" w:rsidTr="00C3447F">
        <w:trPr>
          <w:trHeight w:val="340"/>
        </w:trPr>
        <w:tc>
          <w:tcPr>
            <w:tcW w:w="526" w:type="pct"/>
            <w:vMerge w:val="restart"/>
            <w:shd w:val="clear" w:color="auto" w:fill="D6E3BC" w:themeFill="accent3" w:themeFillTint="66"/>
            <w:noWrap/>
            <w:vAlign w:val="center"/>
            <w:hideMark/>
          </w:tcPr>
          <w:p w14:paraId="4D55B2F2" w14:textId="77777777" w:rsidR="00AF69C8" w:rsidRDefault="00F732FD" w:rsidP="0084560D">
            <w:pPr>
              <w:pStyle w:val="P68B1DB1-Standaard4"/>
              <w:jc w:val="center"/>
            </w:pPr>
            <w:r>
              <w:t>Type</w:t>
            </w:r>
          </w:p>
        </w:tc>
        <w:tc>
          <w:tcPr>
            <w:tcW w:w="1280" w:type="pct"/>
            <w:vMerge w:val="restart"/>
            <w:shd w:val="clear" w:color="auto" w:fill="D6E3BC" w:themeFill="accent3" w:themeFillTint="66"/>
            <w:noWrap/>
            <w:vAlign w:val="center"/>
            <w:hideMark/>
          </w:tcPr>
          <w:p w14:paraId="6BBED8AF" w14:textId="77777777" w:rsidR="00AF69C8" w:rsidRDefault="2CC8BABD" w:rsidP="0084560D">
            <w:pPr>
              <w:pStyle w:val="P68B1DB1-Standaard4"/>
              <w:jc w:val="center"/>
              <w:rPr>
                <w:lang w:val="en-US"/>
              </w:rPr>
            </w:pPr>
            <w:proofErr w:type="spellStart"/>
            <w:r w:rsidRPr="2CC8BABD">
              <w:rPr>
                <w:lang w:val="en-US"/>
              </w:rPr>
              <w:t>Profondeur</w:t>
            </w:r>
            <w:proofErr w:type="spellEnd"/>
            <w:r w:rsidRPr="2CC8BABD">
              <w:rPr>
                <w:lang w:val="en-US"/>
              </w:rPr>
              <w:t xml:space="preserve"> </w:t>
            </w:r>
            <w:proofErr w:type="spellStart"/>
            <w:r w:rsidRPr="2CC8BABD">
              <w:rPr>
                <w:lang w:val="en-US"/>
              </w:rPr>
              <w:t>d'installation</w:t>
            </w:r>
            <w:proofErr w:type="spellEnd"/>
          </w:p>
          <w:p w14:paraId="138BAB8F" w14:textId="77777777" w:rsidR="00AF69C8" w:rsidRDefault="00F732FD" w:rsidP="0084560D">
            <w:pPr>
              <w:pStyle w:val="P68B1DB1-Standaard4"/>
              <w:jc w:val="center"/>
            </w:pPr>
            <w:r>
              <w:t>(mm)</w:t>
            </w:r>
          </w:p>
        </w:tc>
        <w:tc>
          <w:tcPr>
            <w:tcW w:w="1416" w:type="pct"/>
            <w:gridSpan w:val="2"/>
            <w:shd w:val="clear" w:color="auto" w:fill="D6E3BC" w:themeFill="accent3" w:themeFillTint="66"/>
            <w:vAlign w:val="center"/>
          </w:tcPr>
          <w:p w14:paraId="70415BB2" w14:textId="77777777" w:rsidR="00AF69C8" w:rsidRPr="00AB421C" w:rsidRDefault="2CC8BABD" w:rsidP="0084560D">
            <w:pPr>
              <w:pStyle w:val="P68B1DB1-Tekstzonderopmaak5"/>
              <w:jc w:val="center"/>
              <w:rPr>
                <w:lang w:val="fr-FR"/>
              </w:rPr>
            </w:pPr>
            <w:r w:rsidRPr="00AB421C">
              <w:rPr>
                <w:lang w:val="fr-FR"/>
              </w:rPr>
              <w:t>Capacité de ventilation (q</w:t>
            </w:r>
            <w:r w:rsidRPr="00AB421C">
              <w:rPr>
                <w:vertAlign w:val="subscript"/>
                <w:lang w:val="fr-FR"/>
              </w:rPr>
              <w:t>1</w:t>
            </w:r>
            <w:r w:rsidRPr="00AB421C">
              <w:rPr>
                <w:lang w:val="fr-FR"/>
              </w:rPr>
              <w:t>, L</w:t>
            </w:r>
            <w:r w:rsidRPr="00AB421C">
              <w:rPr>
                <w:vertAlign w:val="subscript"/>
                <w:lang w:val="fr-FR"/>
              </w:rPr>
              <w:t>0</w:t>
            </w:r>
            <w:r w:rsidRPr="00AB421C">
              <w:rPr>
                <w:lang w:val="fr-FR"/>
              </w:rPr>
              <w:t>) (m³/h)</w:t>
            </w:r>
          </w:p>
        </w:tc>
        <w:tc>
          <w:tcPr>
            <w:tcW w:w="947" w:type="pct"/>
            <w:gridSpan w:val="2"/>
            <w:shd w:val="clear" w:color="auto" w:fill="D6E3BC" w:themeFill="accent3" w:themeFillTint="66"/>
            <w:vAlign w:val="center"/>
          </w:tcPr>
          <w:p w14:paraId="1667B833" w14:textId="77777777" w:rsidR="00AF69C8" w:rsidRDefault="00F732FD" w:rsidP="0084560D">
            <w:pPr>
              <w:pStyle w:val="P68B1DB1-Standaard4"/>
              <w:jc w:val="center"/>
            </w:pPr>
            <w:r>
              <w:t>L</w:t>
            </w:r>
            <w:r>
              <w:rPr>
                <w:vertAlign w:val="subscript"/>
              </w:rPr>
              <w:t>0</w:t>
            </w:r>
          </w:p>
        </w:tc>
        <w:tc>
          <w:tcPr>
            <w:tcW w:w="832" w:type="pct"/>
            <w:shd w:val="clear" w:color="auto" w:fill="D6E3BC" w:themeFill="accent3" w:themeFillTint="66"/>
            <w:vAlign w:val="center"/>
          </w:tcPr>
          <w:p w14:paraId="24122BCF" w14:textId="77777777" w:rsidR="00AF69C8" w:rsidRDefault="00F732FD" w:rsidP="0084560D">
            <w:pPr>
              <w:pStyle w:val="P68B1DB1-Standaard4"/>
              <w:jc w:val="center"/>
            </w:pPr>
            <w:proofErr w:type="spellStart"/>
            <w:r>
              <w:t>Valeur</w:t>
            </w:r>
            <w:proofErr w:type="spellEnd"/>
            <w:r>
              <w:t xml:space="preserve"> U</w:t>
            </w:r>
          </w:p>
        </w:tc>
      </w:tr>
      <w:tr w:rsidR="00AF69C8" w14:paraId="0936A28B" w14:textId="77777777" w:rsidTr="00C3447F">
        <w:trPr>
          <w:trHeight w:val="397"/>
        </w:trPr>
        <w:tc>
          <w:tcPr>
            <w:tcW w:w="526" w:type="pct"/>
            <w:vMerge/>
            <w:vAlign w:val="center"/>
            <w:hideMark/>
          </w:tcPr>
          <w:p w14:paraId="4BE4D0C8" w14:textId="77777777" w:rsidR="00AF69C8" w:rsidRDefault="00AF69C8" w:rsidP="0084560D">
            <w:pPr>
              <w:jc w:val="center"/>
              <w:rPr>
                <w:rFonts w:cs="Arial"/>
                <w:color w:val="000000"/>
              </w:rPr>
            </w:pPr>
          </w:p>
        </w:tc>
        <w:tc>
          <w:tcPr>
            <w:tcW w:w="1280" w:type="pct"/>
            <w:vMerge/>
            <w:vAlign w:val="center"/>
            <w:hideMark/>
          </w:tcPr>
          <w:p w14:paraId="242A6844" w14:textId="77777777" w:rsidR="00AF69C8" w:rsidRDefault="00AF69C8" w:rsidP="0084560D">
            <w:pPr>
              <w:jc w:val="center"/>
              <w:rPr>
                <w:rFonts w:cs="Arial"/>
                <w:color w:val="000000"/>
              </w:rPr>
            </w:pPr>
          </w:p>
        </w:tc>
        <w:tc>
          <w:tcPr>
            <w:tcW w:w="707" w:type="pct"/>
            <w:shd w:val="clear" w:color="auto" w:fill="D6E3BC" w:themeFill="accent3" w:themeFillTint="66"/>
            <w:vAlign w:val="center"/>
          </w:tcPr>
          <w:p w14:paraId="09EEC9DB" w14:textId="77777777" w:rsidR="00AF69C8" w:rsidRDefault="00F732FD" w:rsidP="0084560D">
            <w:pPr>
              <w:pStyle w:val="P68B1DB1-Standaard4"/>
              <w:jc w:val="center"/>
            </w:pPr>
            <w:r>
              <w:t>q1</w:t>
            </w:r>
            <w:r>
              <w:rPr>
                <w:vertAlign w:val="subscript"/>
              </w:rPr>
              <w:t>, 2Pa</w:t>
            </w:r>
            <w:r>
              <w:t xml:space="preserve"> par m</w:t>
            </w:r>
          </w:p>
        </w:tc>
        <w:tc>
          <w:tcPr>
            <w:tcW w:w="709" w:type="pct"/>
            <w:shd w:val="clear" w:color="auto" w:fill="D6E3BC" w:themeFill="accent3" w:themeFillTint="66"/>
            <w:vAlign w:val="center"/>
          </w:tcPr>
          <w:p w14:paraId="28C27F2C" w14:textId="77777777" w:rsidR="00AF69C8" w:rsidRDefault="00F732FD" w:rsidP="0084560D">
            <w:pPr>
              <w:pStyle w:val="P68B1DB1-Standaard4"/>
              <w:jc w:val="center"/>
            </w:pPr>
            <w:r>
              <w:t>q1</w:t>
            </w:r>
            <w:r>
              <w:rPr>
                <w:vertAlign w:val="subscript"/>
              </w:rPr>
              <w:t>, 10Pa</w:t>
            </w:r>
            <w:r>
              <w:t xml:space="preserve"> par m</w:t>
            </w:r>
          </w:p>
        </w:tc>
        <w:tc>
          <w:tcPr>
            <w:tcW w:w="473" w:type="pct"/>
            <w:shd w:val="clear" w:color="auto" w:fill="D6E3BC" w:themeFill="accent3" w:themeFillTint="66"/>
            <w:vAlign w:val="center"/>
          </w:tcPr>
          <w:p w14:paraId="48957FB2" w14:textId="77777777" w:rsidR="00AF69C8" w:rsidRDefault="00F732FD" w:rsidP="0084560D">
            <w:pPr>
              <w:pStyle w:val="P68B1DB1-Standaard4"/>
              <w:jc w:val="center"/>
            </w:pPr>
            <w:r>
              <w:t>A 2 Pa (500mm)</w:t>
            </w:r>
          </w:p>
        </w:tc>
        <w:tc>
          <w:tcPr>
            <w:tcW w:w="473" w:type="pct"/>
            <w:shd w:val="clear" w:color="auto" w:fill="D6E3BC" w:themeFill="accent3" w:themeFillTint="66"/>
            <w:vAlign w:val="center"/>
          </w:tcPr>
          <w:p w14:paraId="2A5098CC" w14:textId="77777777" w:rsidR="00AF69C8" w:rsidRDefault="00F732FD" w:rsidP="0084560D">
            <w:pPr>
              <w:pStyle w:val="P68B1DB1-Standaard4"/>
              <w:jc w:val="center"/>
            </w:pPr>
            <w:r>
              <w:t>A 10 Pa (500mm)</w:t>
            </w:r>
          </w:p>
        </w:tc>
        <w:tc>
          <w:tcPr>
            <w:tcW w:w="832" w:type="pct"/>
            <w:shd w:val="clear" w:color="auto" w:fill="D6E3BC" w:themeFill="accent3" w:themeFillTint="66"/>
            <w:vAlign w:val="center"/>
          </w:tcPr>
          <w:p w14:paraId="7102885F" w14:textId="77777777" w:rsidR="00AF69C8" w:rsidRDefault="00F732FD" w:rsidP="0084560D">
            <w:pPr>
              <w:pStyle w:val="P68B1DB1-Standaard4"/>
              <w:jc w:val="center"/>
            </w:pPr>
            <w:r>
              <w:t>W/m</w:t>
            </w:r>
            <w:r>
              <w:rPr>
                <w:vertAlign w:val="superscript"/>
              </w:rPr>
              <w:t>2</w:t>
            </w:r>
            <w:r>
              <w:t>/K</w:t>
            </w:r>
          </w:p>
        </w:tc>
      </w:tr>
      <w:tr w:rsidR="00AF69C8" w14:paraId="180D8D86" w14:textId="77777777" w:rsidTr="00C3447F">
        <w:trPr>
          <w:trHeight w:val="241"/>
        </w:trPr>
        <w:tc>
          <w:tcPr>
            <w:tcW w:w="526" w:type="pct"/>
            <w:shd w:val="clear" w:color="auto" w:fill="auto"/>
            <w:noWrap/>
            <w:vAlign w:val="center"/>
            <w:hideMark/>
          </w:tcPr>
          <w:p w14:paraId="1006760E" w14:textId="77777777" w:rsidR="00AF69C8" w:rsidRDefault="00F732FD" w:rsidP="0084560D">
            <w:pPr>
              <w:jc w:val="center"/>
              <w:rPr>
                <w:rStyle w:val="CarMarque"/>
              </w:rPr>
            </w:pPr>
            <w:r>
              <w:rPr>
                <w:rStyle w:val="CarMarque"/>
              </w:rPr>
              <w:t>Medio</w:t>
            </w:r>
          </w:p>
        </w:tc>
        <w:tc>
          <w:tcPr>
            <w:tcW w:w="1280" w:type="pct"/>
            <w:shd w:val="clear" w:color="auto" w:fill="auto"/>
            <w:noWrap/>
            <w:vAlign w:val="center"/>
            <w:hideMark/>
          </w:tcPr>
          <w:p w14:paraId="62EBBC78" w14:textId="77777777" w:rsidR="00AF69C8" w:rsidRDefault="00F732FD" w:rsidP="0084560D">
            <w:pPr>
              <w:pStyle w:val="P68B1DB1-Standaard4"/>
              <w:jc w:val="center"/>
            </w:pPr>
            <w:r>
              <w:t>60 – 115</w:t>
            </w:r>
          </w:p>
        </w:tc>
        <w:tc>
          <w:tcPr>
            <w:tcW w:w="707" w:type="pct"/>
            <w:vAlign w:val="center"/>
          </w:tcPr>
          <w:p w14:paraId="08AA2914" w14:textId="77777777" w:rsidR="00AF69C8" w:rsidRDefault="00F732FD" w:rsidP="0084560D">
            <w:pPr>
              <w:pStyle w:val="P68B1DB1-Standaard4"/>
              <w:jc w:val="center"/>
            </w:pPr>
            <w:r>
              <w:t>68</w:t>
            </w:r>
          </w:p>
        </w:tc>
        <w:tc>
          <w:tcPr>
            <w:tcW w:w="709" w:type="pct"/>
            <w:vAlign w:val="center"/>
          </w:tcPr>
          <w:p w14:paraId="02F6A3CF" w14:textId="77777777" w:rsidR="00AF69C8" w:rsidRDefault="00F732FD" w:rsidP="0084560D">
            <w:pPr>
              <w:pStyle w:val="P68B1DB1-Standaard4"/>
              <w:jc w:val="center"/>
            </w:pPr>
            <w:r>
              <w:t>89</w:t>
            </w:r>
          </w:p>
        </w:tc>
        <w:tc>
          <w:tcPr>
            <w:tcW w:w="473" w:type="pct"/>
            <w:vAlign w:val="center"/>
          </w:tcPr>
          <w:p w14:paraId="4AF6F0E0" w14:textId="77777777" w:rsidR="00AF69C8" w:rsidRDefault="00F732FD" w:rsidP="0084560D">
            <w:pPr>
              <w:pStyle w:val="P68B1DB1-Standaard4"/>
              <w:jc w:val="center"/>
            </w:pPr>
            <w:r>
              <w:t>0,2</w:t>
            </w:r>
          </w:p>
        </w:tc>
        <w:tc>
          <w:tcPr>
            <w:tcW w:w="473" w:type="pct"/>
            <w:vAlign w:val="center"/>
          </w:tcPr>
          <w:p w14:paraId="7E838F73" w14:textId="77777777" w:rsidR="00AF69C8" w:rsidRDefault="00F732FD" w:rsidP="0084560D">
            <w:pPr>
              <w:pStyle w:val="P68B1DB1-Standaard4"/>
              <w:jc w:val="center"/>
            </w:pPr>
            <w:r>
              <w:t>0,2</w:t>
            </w:r>
          </w:p>
        </w:tc>
        <w:tc>
          <w:tcPr>
            <w:tcW w:w="832" w:type="pct"/>
            <w:vAlign w:val="center"/>
          </w:tcPr>
          <w:p w14:paraId="182329F6" w14:textId="77777777" w:rsidR="00AF69C8" w:rsidRDefault="00F732FD" w:rsidP="0084560D">
            <w:pPr>
              <w:pStyle w:val="P68B1DB1-Standaard4"/>
              <w:jc w:val="center"/>
            </w:pPr>
            <w:r>
              <w:t>2,48</w:t>
            </w:r>
          </w:p>
        </w:tc>
      </w:tr>
      <w:tr w:rsidR="00AF69C8" w14:paraId="1CB3C962" w14:textId="77777777" w:rsidTr="00C3447F">
        <w:trPr>
          <w:trHeight w:val="241"/>
        </w:trPr>
        <w:tc>
          <w:tcPr>
            <w:tcW w:w="526" w:type="pct"/>
            <w:shd w:val="clear" w:color="auto" w:fill="auto"/>
            <w:noWrap/>
            <w:vAlign w:val="center"/>
            <w:hideMark/>
          </w:tcPr>
          <w:p w14:paraId="5AFB0846" w14:textId="77777777" w:rsidR="00AF69C8" w:rsidRDefault="00F732FD" w:rsidP="0084560D">
            <w:pPr>
              <w:jc w:val="center"/>
              <w:rPr>
                <w:rStyle w:val="CarMarque"/>
              </w:rPr>
            </w:pPr>
            <w:r>
              <w:rPr>
                <w:rStyle w:val="CarMarque"/>
              </w:rPr>
              <w:t>Alto</w:t>
            </w:r>
          </w:p>
        </w:tc>
        <w:tc>
          <w:tcPr>
            <w:tcW w:w="1280" w:type="pct"/>
            <w:shd w:val="clear" w:color="auto" w:fill="auto"/>
            <w:noWrap/>
            <w:vAlign w:val="center"/>
            <w:hideMark/>
          </w:tcPr>
          <w:p w14:paraId="6B7940EA" w14:textId="77777777" w:rsidR="00AF69C8" w:rsidRDefault="00F732FD" w:rsidP="0084560D">
            <w:pPr>
              <w:pStyle w:val="P68B1DB1-Standaard4"/>
              <w:jc w:val="center"/>
            </w:pPr>
            <w:r>
              <w:t>110* – 165</w:t>
            </w:r>
          </w:p>
        </w:tc>
        <w:tc>
          <w:tcPr>
            <w:tcW w:w="707" w:type="pct"/>
            <w:vAlign w:val="center"/>
          </w:tcPr>
          <w:p w14:paraId="25BC48E5" w14:textId="77777777" w:rsidR="00AF69C8" w:rsidRDefault="00F732FD" w:rsidP="0084560D">
            <w:pPr>
              <w:pStyle w:val="P68B1DB1-Standaard4"/>
              <w:jc w:val="center"/>
            </w:pPr>
            <w:r>
              <w:t>68</w:t>
            </w:r>
          </w:p>
        </w:tc>
        <w:tc>
          <w:tcPr>
            <w:tcW w:w="709" w:type="pct"/>
            <w:vAlign w:val="center"/>
          </w:tcPr>
          <w:p w14:paraId="434544A5" w14:textId="77777777" w:rsidR="00AF69C8" w:rsidRDefault="00F732FD" w:rsidP="0084560D">
            <w:pPr>
              <w:pStyle w:val="P68B1DB1-Standaard4"/>
              <w:jc w:val="center"/>
            </w:pPr>
            <w:r>
              <w:t>89</w:t>
            </w:r>
          </w:p>
        </w:tc>
        <w:tc>
          <w:tcPr>
            <w:tcW w:w="473" w:type="pct"/>
            <w:vAlign w:val="center"/>
          </w:tcPr>
          <w:p w14:paraId="53674468" w14:textId="77777777" w:rsidR="00AF69C8" w:rsidRDefault="00F732FD" w:rsidP="0084560D">
            <w:pPr>
              <w:pStyle w:val="P68B1DB1-Standaard4"/>
              <w:jc w:val="center"/>
            </w:pPr>
            <w:r>
              <w:t>0,2</w:t>
            </w:r>
          </w:p>
        </w:tc>
        <w:tc>
          <w:tcPr>
            <w:tcW w:w="473" w:type="pct"/>
            <w:vAlign w:val="center"/>
          </w:tcPr>
          <w:p w14:paraId="3BB83B26" w14:textId="77777777" w:rsidR="00AF69C8" w:rsidRDefault="00F732FD" w:rsidP="0084560D">
            <w:pPr>
              <w:pStyle w:val="P68B1DB1-Standaard4"/>
              <w:jc w:val="center"/>
            </w:pPr>
            <w:r>
              <w:t>0,2</w:t>
            </w:r>
          </w:p>
        </w:tc>
        <w:tc>
          <w:tcPr>
            <w:tcW w:w="832" w:type="pct"/>
            <w:vAlign w:val="center"/>
          </w:tcPr>
          <w:p w14:paraId="25C1F3D4" w14:textId="77777777" w:rsidR="00AF69C8" w:rsidRDefault="00F732FD" w:rsidP="0084560D">
            <w:pPr>
              <w:pStyle w:val="P68B1DB1-Standaard4"/>
              <w:jc w:val="center"/>
            </w:pPr>
            <w:r>
              <w:t>1,88</w:t>
            </w:r>
          </w:p>
        </w:tc>
      </w:tr>
      <w:tr w:rsidR="00AF69C8" w14:paraId="095CFFFC" w14:textId="77777777" w:rsidTr="00C3447F">
        <w:trPr>
          <w:trHeight w:val="241"/>
        </w:trPr>
        <w:tc>
          <w:tcPr>
            <w:tcW w:w="526" w:type="pct"/>
            <w:shd w:val="clear" w:color="auto" w:fill="auto"/>
            <w:noWrap/>
            <w:vAlign w:val="center"/>
            <w:hideMark/>
          </w:tcPr>
          <w:p w14:paraId="38418560" w14:textId="77777777" w:rsidR="00AF69C8" w:rsidRDefault="00F732FD" w:rsidP="0084560D">
            <w:pPr>
              <w:jc w:val="center"/>
              <w:rPr>
                <w:rStyle w:val="CarMarque"/>
              </w:rPr>
            </w:pPr>
            <w:r>
              <w:rPr>
                <w:rStyle w:val="CarMarque"/>
              </w:rPr>
              <w:t>Largo</w:t>
            </w:r>
          </w:p>
        </w:tc>
        <w:tc>
          <w:tcPr>
            <w:tcW w:w="1280" w:type="pct"/>
            <w:shd w:val="clear" w:color="auto" w:fill="auto"/>
            <w:noWrap/>
            <w:vAlign w:val="center"/>
            <w:hideMark/>
          </w:tcPr>
          <w:p w14:paraId="44A6865F" w14:textId="77777777" w:rsidR="00AF69C8" w:rsidRDefault="00F732FD" w:rsidP="0084560D">
            <w:pPr>
              <w:pStyle w:val="P68B1DB1-Standaard4"/>
              <w:jc w:val="center"/>
            </w:pPr>
            <w:r>
              <w:t>160* – 215</w:t>
            </w:r>
          </w:p>
        </w:tc>
        <w:tc>
          <w:tcPr>
            <w:tcW w:w="707" w:type="pct"/>
            <w:vAlign w:val="center"/>
          </w:tcPr>
          <w:p w14:paraId="437DC3D4" w14:textId="77777777" w:rsidR="00AF69C8" w:rsidRDefault="00F732FD" w:rsidP="0084560D">
            <w:pPr>
              <w:pStyle w:val="P68B1DB1-Standaard4"/>
              <w:jc w:val="center"/>
            </w:pPr>
            <w:r>
              <w:t>68</w:t>
            </w:r>
          </w:p>
        </w:tc>
        <w:tc>
          <w:tcPr>
            <w:tcW w:w="709" w:type="pct"/>
            <w:vAlign w:val="center"/>
          </w:tcPr>
          <w:p w14:paraId="4ACE6346" w14:textId="77777777" w:rsidR="00AF69C8" w:rsidRDefault="00F732FD" w:rsidP="0084560D">
            <w:pPr>
              <w:pStyle w:val="P68B1DB1-Standaard4"/>
              <w:jc w:val="center"/>
            </w:pPr>
            <w:r>
              <w:t>89</w:t>
            </w:r>
          </w:p>
        </w:tc>
        <w:tc>
          <w:tcPr>
            <w:tcW w:w="473" w:type="pct"/>
            <w:vAlign w:val="center"/>
          </w:tcPr>
          <w:p w14:paraId="6AC3444D" w14:textId="77777777" w:rsidR="00AF69C8" w:rsidRDefault="00F732FD" w:rsidP="0084560D">
            <w:pPr>
              <w:pStyle w:val="P68B1DB1-Standaard4"/>
              <w:jc w:val="center"/>
            </w:pPr>
            <w:r>
              <w:t>0,2</w:t>
            </w:r>
          </w:p>
        </w:tc>
        <w:tc>
          <w:tcPr>
            <w:tcW w:w="473" w:type="pct"/>
            <w:vAlign w:val="center"/>
          </w:tcPr>
          <w:p w14:paraId="60202FF0" w14:textId="77777777" w:rsidR="00AF69C8" w:rsidRDefault="00F732FD" w:rsidP="0084560D">
            <w:pPr>
              <w:pStyle w:val="P68B1DB1-Standaard4"/>
              <w:jc w:val="center"/>
            </w:pPr>
            <w:r>
              <w:t>0,2</w:t>
            </w:r>
          </w:p>
        </w:tc>
        <w:tc>
          <w:tcPr>
            <w:tcW w:w="832" w:type="pct"/>
            <w:vAlign w:val="center"/>
          </w:tcPr>
          <w:p w14:paraId="4DDBEE97" w14:textId="77777777" w:rsidR="00AF69C8" w:rsidRDefault="00F732FD" w:rsidP="0084560D">
            <w:pPr>
              <w:pStyle w:val="P68B1DB1-Standaard4"/>
              <w:jc w:val="center"/>
            </w:pPr>
            <w:r>
              <w:t>1,69</w:t>
            </w:r>
          </w:p>
        </w:tc>
      </w:tr>
    </w:tbl>
    <w:p w14:paraId="4FD513F4" w14:textId="77777777" w:rsidR="00AF69C8" w:rsidRPr="00AB421C" w:rsidRDefault="2CC8BABD" w:rsidP="2CC8BABD">
      <w:pPr>
        <w:rPr>
          <w:lang w:val="fr-FR"/>
        </w:rPr>
      </w:pPr>
      <w:r w:rsidRPr="00AB421C">
        <w:rPr>
          <w:lang w:val="fr-FR"/>
        </w:rPr>
        <w:t>* Également applicable à partir de 60 mm avec un profilé inférieur allongé</w:t>
      </w:r>
    </w:p>
    <w:p w14:paraId="3FC77B11" w14:textId="452E5EBF" w:rsidR="00AF69C8" w:rsidRPr="00AB421C" w:rsidRDefault="00AF69C8">
      <w:pPr>
        <w:jc w:val="left"/>
        <w:rPr>
          <w:lang w:val="fr-FR"/>
        </w:rPr>
      </w:pPr>
    </w:p>
    <w:p w14:paraId="1C59A030" w14:textId="21FB2BA7" w:rsidR="00AF69C8" w:rsidRDefault="2CC8BABD" w:rsidP="2CC8BABD">
      <w:pPr>
        <w:jc w:val="left"/>
        <w:rPr>
          <w:lang w:val="fr-FR"/>
        </w:rPr>
      </w:pPr>
      <w:r w:rsidRPr="2CC8BABD">
        <w:rPr>
          <w:lang w:val="fr-FR"/>
        </w:rPr>
        <w:t xml:space="preserve">Tableau des valeurs insonorisation </w:t>
      </w:r>
      <w:proofErr w:type="spellStart"/>
      <w:r w:rsidR="005404ED" w:rsidRPr="005404ED">
        <w:rPr>
          <w:rStyle w:val="MerkChar"/>
          <w:lang w:val="fr-FR"/>
        </w:rPr>
        <w:t>TronicSkyVent</w:t>
      </w:r>
      <w:proofErr w:type="spellEnd"/>
      <w:r w:rsidR="005404ED" w:rsidRPr="005404ED">
        <w:rPr>
          <w:rStyle w:val="MerkChar"/>
          <w:lang w:val="fr-FR"/>
        </w:rPr>
        <w:t xml:space="preserve"> BE</w:t>
      </w:r>
      <w:r w:rsidR="005404ED">
        <w:rPr>
          <w:lang w:val="fr-FR"/>
        </w:rPr>
        <w:t xml:space="preserve"> </w:t>
      </w:r>
      <w:r w:rsidRPr="2CC8BABD">
        <w:rPr>
          <w:rStyle w:val="MerkChar"/>
          <w:lang w:val="fr-FR"/>
        </w:rPr>
        <w:t xml:space="preserve">AK </w:t>
      </w:r>
      <w:r w:rsidRPr="2CC8BABD">
        <w:rPr>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
        <w:gridCol w:w="2398"/>
        <w:gridCol w:w="1389"/>
        <w:gridCol w:w="1731"/>
        <w:gridCol w:w="1560"/>
        <w:gridCol w:w="1564"/>
      </w:tblGrid>
      <w:tr w:rsidR="00AF69C8" w14:paraId="183A4831" w14:textId="77777777" w:rsidTr="0084560D">
        <w:trPr>
          <w:trHeight w:val="170"/>
        </w:trPr>
        <w:tc>
          <w:tcPr>
            <w:tcW w:w="513" w:type="pct"/>
            <w:vMerge w:val="restart"/>
            <w:shd w:val="clear" w:color="auto" w:fill="D6E3BC" w:themeFill="accent3" w:themeFillTint="66"/>
            <w:noWrap/>
            <w:vAlign w:val="center"/>
            <w:hideMark/>
          </w:tcPr>
          <w:p w14:paraId="35631AB8" w14:textId="77777777" w:rsidR="00AF69C8" w:rsidRDefault="00F732FD">
            <w:pPr>
              <w:pStyle w:val="P68B1DB1-Standaard4"/>
              <w:jc w:val="center"/>
            </w:pPr>
            <w:r>
              <w:t>Type</w:t>
            </w:r>
          </w:p>
        </w:tc>
        <w:tc>
          <w:tcPr>
            <w:tcW w:w="1245" w:type="pct"/>
            <w:vMerge w:val="restart"/>
            <w:shd w:val="clear" w:color="auto" w:fill="D6E3BC" w:themeFill="accent3" w:themeFillTint="66"/>
            <w:noWrap/>
            <w:vAlign w:val="center"/>
            <w:hideMark/>
          </w:tcPr>
          <w:p w14:paraId="3604D10C" w14:textId="77777777" w:rsidR="00AF69C8" w:rsidRDefault="2CC8BABD" w:rsidP="2CC8BABD">
            <w:pPr>
              <w:pStyle w:val="P68B1DB1-Standaard4"/>
              <w:jc w:val="center"/>
              <w:rPr>
                <w:lang w:val="en-US"/>
              </w:rPr>
            </w:pPr>
            <w:proofErr w:type="spellStart"/>
            <w:r w:rsidRPr="2CC8BABD">
              <w:rPr>
                <w:lang w:val="en-US"/>
              </w:rPr>
              <w:t>Profondeur</w:t>
            </w:r>
            <w:proofErr w:type="spellEnd"/>
            <w:r w:rsidRPr="2CC8BABD">
              <w:rPr>
                <w:lang w:val="en-US"/>
              </w:rPr>
              <w:t xml:space="preserve"> </w:t>
            </w:r>
            <w:proofErr w:type="spellStart"/>
            <w:r w:rsidRPr="2CC8BABD">
              <w:rPr>
                <w:lang w:val="en-US"/>
              </w:rPr>
              <w:t>d'installation</w:t>
            </w:r>
            <w:proofErr w:type="spellEnd"/>
          </w:p>
          <w:p w14:paraId="71D488C8" w14:textId="77777777" w:rsidR="00AF69C8" w:rsidRDefault="00F732FD">
            <w:pPr>
              <w:pStyle w:val="P68B1DB1-Standaard4"/>
              <w:jc w:val="center"/>
            </w:pPr>
            <w:r>
              <w:t>(mm)</w:t>
            </w:r>
          </w:p>
        </w:tc>
        <w:tc>
          <w:tcPr>
            <w:tcW w:w="3242" w:type="pct"/>
            <w:gridSpan w:val="4"/>
            <w:shd w:val="clear" w:color="auto" w:fill="D6E3BC" w:themeFill="accent3" w:themeFillTint="66"/>
            <w:noWrap/>
            <w:vAlign w:val="center"/>
            <w:hideMark/>
          </w:tcPr>
          <w:p w14:paraId="01904F2E" w14:textId="77777777" w:rsidR="00AF69C8" w:rsidRDefault="2CC8BABD" w:rsidP="2CC8BABD">
            <w:pPr>
              <w:pStyle w:val="P68B1DB1-Standaard4"/>
              <w:jc w:val="center"/>
              <w:rPr>
                <w:lang w:val="en-US"/>
              </w:rPr>
            </w:pPr>
            <w:proofErr w:type="spellStart"/>
            <w:r w:rsidRPr="2CC8BABD">
              <w:rPr>
                <w:lang w:val="en-US"/>
              </w:rPr>
              <w:t>Finition</w:t>
            </w:r>
            <w:proofErr w:type="spellEnd"/>
            <w:r w:rsidRPr="2CC8BABD">
              <w:rPr>
                <w:lang w:val="en-US"/>
              </w:rPr>
              <w:t xml:space="preserve"> standard</w:t>
            </w:r>
          </w:p>
        </w:tc>
      </w:tr>
      <w:tr w:rsidR="00AF69C8" w:rsidRPr="001427D9" w14:paraId="4ACBB17E" w14:textId="77777777" w:rsidTr="0084560D">
        <w:trPr>
          <w:trHeight w:val="340"/>
        </w:trPr>
        <w:tc>
          <w:tcPr>
            <w:tcW w:w="513" w:type="pct"/>
            <w:vMerge/>
            <w:vAlign w:val="center"/>
            <w:hideMark/>
          </w:tcPr>
          <w:p w14:paraId="0EF04749" w14:textId="77777777" w:rsidR="00AF69C8" w:rsidRDefault="00AF69C8">
            <w:pPr>
              <w:jc w:val="center"/>
              <w:rPr>
                <w:rFonts w:cs="Arial"/>
                <w:color w:val="000000"/>
              </w:rPr>
            </w:pPr>
          </w:p>
        </w:tc>
        <w:tc>
          <w:tcPr>
            <w:tcW w:w="1245" w:type="pct"/>
            <w:vMerge/>
            <w:vAlign w:val="center"/>
            <w:hideMark/>
          </w:tcPr>
          <w:p w14:paraId="32EB8570" w14:textId="77777777" w:rsidR="00AF69C8" w:rsidRDefault="00AF69C8">
            <w:pPr>
              <w:jc w:val="center"/>
              <w:rPr>
                <w:rFonts w:cs="Arial"/>
                <w:color w:val="000000"/>
              </w:rPr>
            </w:pPr>
          </w:p>
        </w:tc>
        <w:tc>
          <w:tcPr>
            <w:tcW w:w="721" w:type="pct"/>
            <w:shd w:val="clear" w:color="auto" w:fill="D6E3BC" w:themeFill="accent3" w:themeFillTint="66"/>
            <w:noWrap/>
            <w:vAlign w:val="center"/>
            <w:hideMark/>
          </w:tcPr>
          <w:p w14:paraId="106AE794" w14:textId="77777777" w:rsidR="00AF69C8" w:rsidRDefault="00F732FD">
            <w:pPr>
              <w:pStyle w:val="P68B1DB1-Standaard4"/>
              <w:jc w:val="center"/>
            </w:pPr>
            <w:proofErr w:type="spellStart"/>
            <w:r>
              <w:t>Position</w:t>
            </w:r>
            <w:proofErr w:type="spellEnd"/>
          </w:p>
        </w:tc>
        <w:tc>
          <w:tcPr>
            <w:tcW w:w="899" w:type="pct"/>
            <w:shd w:val="clear" w:color="auto" w:fill="D6E3BC" w:themeFill="accent3" w:themeFillTint="66"/>
            <w:vAlign w:val="center"/>
            <w:hideMark/>
          </w:tcPr>
          <w:p w14:paraId="7042D857" w14:textId="77777777" w:rsidR="00AF69C8" w:rsidRPr="00AB421C" w:rsidRDefault="2CC8BABD" w:rsidP="2CC8BABD">
            <w:pPr>
              <w:pStyle w:val="P68B1DB1-Standaard4"/>
              <w:jc w:val="center"/>
              <w:rPr>
                <w:lang w:val="de-DE"/>
              </w:rPr>
            </w:pPr>
            <w:proofErr w:type="spellStart"/>
            <w:r w:rsidRPr="00AB421C">
              <w:rPr>
                <w:lang w:val="de-DE"/>
              </w:rPr>
              <w:t>D</w:t>
            </w:r>
            <w:r w:rsidRPr="00AB421C">
              <w:rPr>
                <w:vertAlign w:val="subscript"/>
                <w:lang w:val="de-DE"/>
              </w:rPr>
              <w:t>n,e,W</w:t>
            </w:r>
            <w:proofErr w:type="spellEnd"/>
            <w:r w:rsidRPr="00AB421C">
              <w:rPr>
                <w:lang w:val="de-DE"/>
              </w:rPr>
              <w:t xml:space="preserve"> (</w:t>
            </w:r>
            <w:proofErr w:type="spellStart"/>
            <w:r w:rsidRPr="00AB421C">
              <w:rPr>
                <w:lang w:val="de-DE"/>
              </w:rPr>
              <w:t>C;C</w:t>
            </w:r>
            <w:r w:rsidRPr="00AB421C">
              <w:rPr>
                <w:vertAlign w:val="subscript"/>
                <w:lang w:val="de-DE"/>
              </w:rPr>
              <w:t>tr</w:t>
            </w:r>
            <w:proofErr w:type="spellEnd"/>
            <w:r w:rsidRPr="00AB421C">
              <w:rPr>
                <w:lang w:val="de-DE"/>
              </w:rPr>
              <w:t>)</w:t>
            </w:r>
            <w:r w:rsidR="00F732FD" w:rsidRPr="00AB421C">
              <w:rPr>
                <w:lang w:val="de-DE"/>
              </w:rPr>
              <w:br/>
            </w:r>
            <w:r w:rsidRPr="00AB421C">
              <w:rPr>
                <w:lang w:val="de-DE"/>
              </w:rPr>
              <w:t>en dB</w:t>
            </w:r>
          </w:p>
        </w:tc>
        <w:tc>
          <w:tcPr>
            <w:tcW w:w="810" w:type="pct"/>
            <w:shd w:val="clear" w:color="auto" w:fill="D6E3BC" w:themeFill="accent3" w:themeFillTint="66"/>
            <w:vAlign w:val="center"/>
          </w:tcPr>
          <w:p w14:paraId="4F72734F" w14:textId="77777777" w:rsidR="00AF69C8" w:rsidRDefault="00F732FD">
            <w:pPr>
              <w:pStyle w:val="P68B1DB1-Standaard4"/>
              <w:jc w:val="center"/>
            </w:pPr>
            <w:proofErr w:type="spellStart"/>
            <w:r>
              <w:t>Position</w:t>
            </w:r>
            <w:proofErr w:type="spellEnd"/>
          </w:p>
        </w:tc>
        <w:tc>
          <w:tcPr>
            <w:tcW w:w="812" w:type="pct"/>
            <w:shd w:val="clear" w:color="auto" w:fill="D6E3BC" w:themeFill="accent3" w:themeFillTint="66"/>
            <w:vAlign w:val="center"/>
          </w:tcPr>
          <w:p w14:paraId="74BE7CEE" w14:textId="77777777" w:rsidR="00AF69C8" w:rsidRPr="00AB421C" w:rsidRDefault="2CC8BABD" w:rsidP="2CC8BABD">
            <w:pPr>
              <w:pStyle w:val="P68B1DB1-Standaard4"/>
              <w:jc w:val="center"/>
              <w:rPr>
                <w:lang w:val="de-DE"/>
              </w:rPr>
            </w:pPr>
            <w:proofErr w:type="spellStart"/>
            <w:r w:rsidRPr="00AB421C">
              <w:rPr>
                <w:lang w:val="de-DE"/>
              </w:rPr>
              <w:t>D</w:t>
            </w:r>
            <w:r w:rsidRPr="00AB421C">
              <w:rPr>
                <w:vertAlign w:val="subscript"/>
                <w:lang w:val="de-DE"/>
              </w:rPr>
              <w:t>n,e,W</w:t>
            </w:r>
            <w:proofErr w:type="spellEnd"/>
            <w:r w:rsidRPr="00AB421C">
              <w:rPr>
                <w:lang w:val="de-DE"/>
              </w:rPr>
              <w:t xml:space="preserve"> (</w:t>
            </w:r>
            <w:proofErr w:type="spellStart"/>
            <w:r w:rsidRPr="00AB421C">
              <w:rPr>
                <w:lang w:val="de-DE"/>
              </w:rPr>
              <w:t>C;C</w:t>
            </w:r>
            <w:r w:rsidRPr="00AB421C">
              <w:rPr>
                <w:vertAlign w:val="subscript"/>
                <w:lang w:val="de-DE"/>
              </w:rPr>
              <w:t>tr</w:t>
            </w:r>
            <w:proofErr w:type="spellEnd"/>
            <w:r w:rsidRPr="00AB421C">
              <w:rPr>
                <w:lang w:val="de-DE"/>
              </w:rPr>
              <w:t>)</w:t>
            </w:r>
            <w:r w:rsidR="00F732FD" w:rsidRPr="00AB421C">
              <w:rPr>
                <w:lang w:val="de-DE"/>
              </w:rPr>
              <w:br/>
            </w:r>
            <w:r w:rsidRPr="00AB421C">
              <w:rPr>
                <w:lang w:val="de-DE"/>
              </w:rPr>
              <w:t>en dB</w:t>
            </w:r>
          </w:p>
        </w:tc>
      </w:tr>
      <w:tr w:rsidR="00AF69C8" w14:paraId="23F763D7" w14:textId="77777777" w:rsidTr="0084560D">
        <w:trPr>
          <w:trHeight w:val="263"/>
        </w:trPr>
        <w:tc>
          <w:tcPr>
            <w:tcW w:w="513" w:type="pct"/>
            <w:shd w:val="clear" w:color="auto" w:fill="auto"/>
            <w:noWrap/>
            <w:vAlign w:val="center"/>
            <w:hideMark/>
          </w:tcPr>
          <w:p w14:paraId="03651282" w14:textId="77777777" w:rsidR="00AF69C8" w:rsidRDefault="00F732FD">
            <w:pPr>
              <w:jc w:val="center"/>
              <w:rPr>
                <w:rStyle w:val="CarMarque"/>
              </w:rPr>
            </w:pPr>
            <w:r>
              <w:rPr>
                <w:rStyle w:val="CarMarque"/>
              </w:rPr>
              <w:t>Medio</w:t>
            </w:r>
          </w:p>
        </w:tc>
        <w:tc>
          <w:tcPr>
            <w:tcW w:w="1245" w:type="pct"/>
            <w:shd w:val="clear" w:color="auto" w:fill="auto"/>
            <w:noWrap/>
            <w:vAlign w:val="center"/>
            <w:hideMark/>
          </w:tcPr>
          <w:p w14:paraId="5783AFA3" w14:textId="77777777" w:rsidR="00AF69C8" w:rsidRDefault="00F732FD">
            <w:pPr>
              <w:pStyle w:val="P68B1DB1-Standaard4"/>
              <w:jc w:val="center"/>
            </w:pPr>
            <w:r>
              <w:t>60 – 115</w:t>
            </w:r>
          </w:p>
        </w:tc>
        <w:tc>
          <w:tcPr>
            <w:tcW w:w="721" w:type="pct"/>
            <w:shd w:val="clear" w:color="auto" w:fill="auto"/>
            <w:noWrap/>
            <w:vAlign w:val="bottom"/>
            <w:hideMark/>
          </w:tcPr>
          <w:p w14:paraId="71F5D2B5"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99" w:type="pct"/>
            <w:shd w:val="clear" w:color="auto" w:fill="auto"/>
            <w:noWrap/>
            <w:vAlign w:val="bottom"/>
            <w:hideMark/>
          </w:tcPr>
          <w:p w14:paraId="7EA1696E" w14:textId="77777777" w:rsidR="00AF69C8" w:rsidRDefault="2CC8BABD" w:rsidP="2CC8BABD">
            <w:pPr>
              <w:pStyle w:val="P68B1DB1-Standaard4"/>
              <w:jc w:val="center"/>
              <w:rPr>
                <w:lang w:val="en-US"/>
              </w:rPr>
            </w:pPr>
            <w:r w:rsidRPr="2CC8BABD">
              <w:rPr>
                <w:lang w:val="en-US"/>
              </w:rPr>
              <w:t xml:space="preserve"> 34 (0;-2)</w:t>
            </w:r>
          </w:p>
        </w:tc>
        <w:tc>
          <w:tcPr>
            <w:tcW w:w="810" w:type="pct"/>
          </w:tcPr>
          <w:p w14:paraId="11568E96" w14:textId="77777777" w:rsidR="00AF69C8" w:rsidRDefault="00F732FD">
            <w:pPr>
              <w:pStyle w:val="P68B1DB1-Standaard4"/>
              <w:jc w:val="center"/>
            </w:pPr>
            <w:r>
              <w:t>Fermé</w:t>
            </w:r>
          </w:p>
        </w:tc>
        <w:tc>
          <w:tcPr>
            <w:tcW w:w="812" w:type="pct"/>
            <w:vAlign w:val="bottom"/>
          </w:tcPr>
          <w:p w14:paraId="40A8BA14" w14:textId="77777777" w:rsidR="00AF69C8" w:rsidRDefault="2CC8BABD" w:rsidP="2CC8BABD">
            <w:pPr>
              <w:pStyle w:val="P68B1DB1-Standaard4"/>
              <w:jc w:val="center"/>
              <w:rPr>
                <w:lang w:val="en-US"/>
              </w:rPr>
            </w:pPr>
            <w:r w:rsidRPr="2CC8BABD">
              <w:rPr>
                <w:lang w:val="en-US"/>
              </w:rPr>
              <w:t>52 (-1;-3)</w:t>
            </w:r>
          </w:p>
        </w:tc>
      </w:tr>
      <w:tr w:rsidR="00AF69C8" w14:paraId="16DBA5F4" w14:textId="77777777" w:rsidTr="0084560D">
        <w:trPr>
          <w:trHeight w:val="263"/>
        </w:trPr>
        <w:tc>
          <w:tcPr>
            <w:tcW w:w="513" w:type="pct"/>
            <w:shd w:val="clear" w:color="auto" w:fill="auto"/>
            <w:noWrap/>
            <w:vAlign w:val="center"/>
            <w:hideMark/>
          </w:tcPr>
          <w:p w14:paraId="64BDE906" w14:textId="77777777" w:rsidR="00AF69C8" w:rsidRDefault="00F732FD">
            <w:pPr>
              <w:jc w:val="center"/>
              <w:rPr>
                <w:rStyle w:val="CarMarque"/>
              </w:rPr>
            </w:pPr>
            <w:r>
              <w:rPr>
                <w:rStyle w:val="CarMarque"/>
              </w:rPr>
              <w:t>Alto</w:t>
            </w:r>
          </w:p>
        </w:tc>
        <w:tc>
          <w:tcPr>
            <w:tcW w:w="1245" w:type="pct"/>
            <w:shd w:val="clear" w:color="auto" w:fill="auto"/>
            <w:noWrap/>
            <w:vAlign w:val="center"/>
            <w:hideMark/>
          </w:tcPr>
          <w:p w14:paraId="64A174AD" w14:textId="77777777" w:rsidR="00AF69C8" w:rsidRDefault="00F732FD">
            <w:pPr>
              <w:pStyle w:val="P68B1DB1-Standaard4"/>
              <w:jc w:val="center"/>
            </w:pPr>
            <w:r>
              <w:t>110* – 165</w:t>
            </w:r>
          </w:p>
        </w:tc>
        <w:tc>
          <w:tcPr>
            <w:tcW w:w="721" w:type="pct"/>
            <w:shd w:val="clear" w:color="auto" w:fill="auto"/>
            <w:noWrap/>
            <w:vAlign w:val="bottom"/>
            <w:hideMark/>
          </w:tcPr>
          <w:p w14:paraId="21060776"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99" w:type="pct"/>
            <w:shd w:val="clear" w:color="auto" w:fill="auto"/>
            <w:noWrap/>
            <w:vAlign w:val="bottom"/>
            <w:hideMark/>
          </w:tcPr>
          <w:p w14:paraId="7F5901F2" w14:textId="77777777" w:rsidR="00AF69C8" w:rsidRDefault="2CC8BABD" w:rsidP="2CC8BABD">
            <w:pPr>
              <w:pStyle w:val="P68B1DB1-Standaard4"/>
              <w:jc w:val="center"/>
              <w:rPr>
                <w:lang w:val="en-US"/>
              </w:rPr>
            </w:pPr>
            <w:r w:rsidRPr="2CC8BABD">
              <w:rPr>
                <w:lang w:val="en-US"/>
              </w:rPr>
              <w:t xml:space="preserve"> 36 (-1;-2)</w:t>
            </w:r>
          </w:p>
        </w:tc>
        <w:tc>
          <w:tcPr>
            <w:tcW w:w="810" w:type="pct"/>
          </w:tcPr>
          <w:p w14:paraId="14AC9714" w14:textId="77777777" w:rsidR="00AF69C8" w:rsidRDefault="00F732FD">
            <w:pPr>
              <w:pStyle w:val="P68B1DB1-Standaard4"/>
              <w:jc w:val="center"/>
            </w:pPr>
            <w:r>
              <w:t>Fermé</w:t>
            </w:r>
          </w:p>
        </w:tc>
        <w:tc>
          <w:tcPr>
            <w:tcW w:w="812" w:type="pct"/>
            <w:vAlign w:val="bottom"/>
          </w:tcPr>
          <w:p w14:paraId="3C2C9EFA" w14:textId="77777777" w:rsidR="00AF69C8" w:rsidRDefault="2CC8BABD" w:rsidP="2CC8BABD">
            <w:pPr>
              <w:pStyle w:val="P68B1DB1-Standaard4"/>
              <w:jc w:val="center"/>
              <w:rPr>
                <w:lang w:val="en-US"/>
              </w:rPr>
            </w:pPr>
            <w:r w:rsidRPr="2CC8BABD">
              <w:rPr>
                <w:lang w:val="en-US"/>
              </w:rPr>
              <w:t>55 (0;-3)</w:t>
            </w:r>
          </w:p>
        </w:tc>
      </w:tr>
      <w:tr w:rsidR="00AF69C8" w14:paraId="0A2F8E4B" w14:textId="77777777" w:rsidTr="0084560D">
        <w:trPr>
          <w:trHeight w:val="263"/>
        </w:trPr>
        <w:tc>
          <w:tcPr>
            <w:tcW w:w="513" w:type="pct"/>
            <w:shd w:val="clear" w:color="auto" w:fill="auto"/>
            <w:noWrap/>
            <w:vAlign w:val="center"/>
            <w:hideMark/>
          </w:tcPr>
          <w:p w14:paraId="037A3FE9" w14:textId="77777777" w:rsidR="00AF69C8" w:rsidRDefault="00F732FD">
            <w:pPr>
              <w:jc w:val="center"/>
              <w:rPr>
                <w:rStyle w:val="CarMarque"/>
              </w:rPr>
            </w:pPr>
            <w:r>
              <w:rPr>
                <w:rStyle w:val="CarMarque"/>
              </w:rPr>
              <w:t>Largo</w:t>
            </w:r>
          </w:p>
        </w:tc>
        <w:tc>
          <w:tcPr>
            <w:tcW w:w="1245" w:type="pct"/>
            <w:shd w:val="clear" w:color="auto" w:fill="auto"/>
            <w:noWrap/>
            <w:vAlign w:val="center"/>
            <w:hideMark/>
          </w:tcPr>
          <w:p w14:paraId="03F27EF4" w14:textId="77777777" w:rsidR="00AF69C8" w:rsidRDefault="00F732FD">
            <w:pPr>
              <w:pStyle w:val="P68B1DB1-Standaard4"/>
              <w:jc w:val="center"/>
            </w:pPr>
            <w:r>
              <w:t>160* – 215</w:t>
            </w:r>
          </w:p>
        </w:tc>
        <w:tc>
          <w:tcPr>
            <w:tcW w:w="721" w:type="pct"/>
            <w:shd w:val="clear" w:color="auto" w:fill="auto"/>
            <w:noWrap/>
            <w:vAlign w:val="bottom"/>
            <w:hideMark/>
          </w:tcPr>
          <w:p w14:paraId="08FCF7B0"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99" w:type="pct"/>
            <w:shd w:val="clear" w:color="auto" w:fill="auto"/>
            <w:noWrap/>
            <w:vAlign w:val="bottom"/>
            <w:hideMark/>
          </w:tcPr>
          <w:p w14:paraId="6BB6D262" w14:textId="77777777" w:rsidR="00AF69C8" w:rsidRDefault="2CC8BABD" w:rsidP="2CC8BABD">
            <w:pPr>
              <w:pStyle w:val="P68B1DB1-Standaard4"/>
              <w:jc w:val="center"/>
              <w:rPr>
                <w:lang w:val="en-US"/>
              </w:rPr>
            </w:pPr>
            <w:r w:rsidRPr="2CC8BABD">
              <w:rPr>
                <w:lang w:val="en-US"/>
              </w:rPr>
              <w:t xml:space="preserve"> 37 (0;-2)</w:t>
            </w:r>
          </w:p>
        </w:tc>
        <w:tc>
          <w:tcPr>
            <w:tcW w:w="810" w:type="pct"/>
          </w:tcPr>
          <w:p w14:paraId="5FB1E353" w14:textId="77777777" w:rsidR="00AF69C8" w:rsidRDefault="00F732FD">
            <w:pPr>
              <w:pStyle w:val="P68B1DB1-Standaard4"/>
              <w:jc w:val="center"/>
            </w:pPr>
            <w:r>
              <w:t>Fermé</w:t>
            </w:r>
          </w:p>
        </w:tc>
        <w:tc>
          <w:tcPr>
            <w:tcW w:w="812" w:type="pct"/>
            <w:vAlign w:val="bottom"/>
          </w:tcPr>
          <w:p w14:paraId="466ACC61" w14:textId="77777777" w:rsidR="00AF69C8" w:rsidRDefault="2CC8BABD" w:rsidP="2CC8BABD">
            <w:pPr>
              <w:pStyle w:val="P68B1DB1-Standaard4"/>
              <w:jc w:val="center"/>
              <w:rPr>
                <w:lang w:val="en-US"/>
              </w:rPr>
            </w:pPr>
            <w:r w:rsidRPr="2CC8BABD">
              <w:rPr>
                <w:lang w:val="en-US"/>
              </w:rPr>
              <w:t>56 (-1;-4)</w:t>
            </w:r>
          </w:p>
        </w:tc>
      </w:tr>
    </w:tbl>
    <w:p w14:paraId="5D7279AF" w14:textId="77777777" w:rsidR="00AF69C8" w:rsidRPr="00AB421C" w:rsidRDefault="2CC8BABD" w:rsidP="2CC8BABD">
      <w:pPr>
        <w:rPr>
          <w:lang w:val="fr-FR"/>
        </w:rPr>
      </w:pPr>
      <w:r w:rsidRPr="00AB421C">
        <w:rPr>
          <w:lang w:val="fr-FR"/>
        </w:rPr>
        <w:t>* Également applicable à partir de 60 mm avec un profilé inférieur allongé</w:t>
      </w:r>
    </w:p>
    <w:p w14:paraId="0BB30F63" w14:textId="77777777" w:rsidR="00AF69C8" w:rsidRPr="00AB421C" w:rsidRDefault="2CC8BABD">
      <w:pPr>
        <w:rPr>
          <w:lang w:val="fr-FR"/>
        </w:rPr>
      </w:pPr>
      <w:r w:rsidRPr="00AB421C">
        <w:rPr>
          <w:lang w:val="fr-FR"/>
        </w:rPr>
        <w:t xml:space="preserve">Toutes les valeurs de bande d'octave (en dB) sont disponibles gratuitement auprès de </w:t>
      </w:r>
      <w:r w:rsidRPr="00255660">
        <w:rPr>
          <w:rStyle w:val="MerkChar"/>
          <w:lang w:val="fr-FR"/>
        </w:rPr>
        <w:t>DUCO 'Ventilation &amp; Sun Control'</w:t>
      </w:r>
      <w:r w:rsidRPr="00AB421C">
        <w:rPr>
          <w:lang w:val="fr-FR"/>
        </w:rPr>
        <w:t>.</w:t>
      </w:r>
    </w:p>
    <w:p w14:paraId="6F61F026" w14:textId="389FDDA4" w:rsidR="0084560D" w:rsidRDefault="0084560D">
      <w:pPr>
        <w:jc w:val="left"/>
        <w:rPr>
          <w:lang w:val="fr-FR"/>
        </w:rPr>
      </w:pPr>
      <w:r>
        <w:rPr>
          <w:lang w:val="fr-FR"/>
        </w:rPr>
        <w:br w:type="page"/>
      </w:r>
    </w:p>
    <w:p w14:paraId="43A46197" w14:textId="7FB3E9FF" w:rsidR="00AF69C8" w:rsidRDefault="2CC8BABD" w:rsidP="2CC8BABD">
      <w:pPr>
        <w:jc w:val="left"/>
        <w:rPr>
          <w:lang w:val="fr-FR"/>
        </w:rPr>
      </w:pPr>
      <w:r w:rsidRPr="2CC8BABD">
        <w:rPr>
          <w:lang w:val="fr-FR"/>
        </w:rPr>
        <w:lastRenderedPageBreak/>
        <w:t xml:space="preserve">Tableau des valeurs ventilation </w:t>
      </w:r>
      <w:proofErr w:type="spellStart"/>
      <w:r w:rsidR="005404ED" w:rsidRPr="005404ED">
        <w:rPr>
          <w:rStyle w:val="MerkChar"/>
          <w:lang w:val="fr-FR"/>
        </w:rPr>
        <w:t>TronicSkyVent</w:t>
      </w:r>
      <w:proofErr w:type="spellEnd"/>
      <w:r w:rsidR="005404ED" w:rsidRPr="005404ED">
        <w:rPr>
          <w:rStyle w:val="MerkChar"/>
          <w:lang w:val="fr-FR"/>
        </w:rPr>
        <w:t xml:space="preserve"> BE</w:t>
      </w:r>
      <w:r w:rsidR="005404ED">
        <w:rPr>
          <w:lang w:val="fr-FR"/>
        </w:rPr>
        <w:t xml:space="preserve"> </w:t>
      </w:r>
      <w:r w:rsidRPr="2CC8BABD">
        <w:rPr>
          <w:rStyle w:val="MerkChar"/>
          <w:lang w:val="fr-FR"/>
        </w:rPr>
        <w:t>AK+</w:t>
      </w:r>
      <w:r w:rsidRPr="2CC8BABD">
        <w:rPr>
          <w:lang w:val="fr-FR"/>
        </w:rPr>
        <w:t>:</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
        <w:gridCol w:w="2397"/>
        <w:gridCol w:w="1319"/>
        <w:gridCol w:w="1324"/>
        <w:gridCol w:w="886"/>
        <w:gridCol w:w="888"/>
        <w:gridCol w:w="1647"/>
      </w:tblGrid>
      <w:tr w:rsidR="00AF69C8" w14:paraId="6E71FD22" w14:textId="77777777" w:rsidTr="00C3447F">
        <w:trPr>
          <w:trHeight w:val="425"/>
        </w:trPr>
        <w:tc>
          <w:tcPr>
            <w:tcW w:w="521" w:type="pct"/>
            <w:vMerge w:val="restart"/>
            <w:shd w:val="clear" w:color="auto" w:fill="D6E3BC" w:themeFill="accent3" w:themeFillTint="66"/>
            <w:noWrap/>
            <w:vAlign w:val="center"/>
            <w:hideMark/>
          </w:tcPr>
          <w:p w14:paraId="1440AA5C" w14:textId="77777777" w:rsidR="00AF69C8" w:rsidRDefault="00F732FD" w:rsidP="00C754B9">
            <w:pPr>
              <w:pStyle w:val="P68B1DB1-Standaard4"/>
              <w:jc w:val="center"/>
            </w:pPr>
            <w:r>
              <w:t>Type</w:t>
            </w:r>
          </w:p>
        </w:tc>
        <w:tc>
          <w:tcPr>
            <w:tcW w:w="1269" w:type="pct"/>
            <w:vMerge w:val="restart"/>
            <w:shd w:val="clear" w:color="auto" w:fill="D6E3BC" w:themeFill="accent3" w:themeFillTint="66"/>
            <w:noWrap/>
            <w:vAlign w:val="center"/>
            <w:hideMark/>
          </w:tcPr>
          <w:p w14:paraId="0FD4505C" w14:textId="77777777" w:rsidR="00AF69C8" w:rsidRDefault="2CC8BABD" w:rsidP="00C754B9">
            <w:pPr>
              <w:pStyle w:val="P68B1DB1-Standaard4"/>
              <w:jc w:val="center"/>
              <w:rPr>
                <w:lang w:val="en-US"/>
              </w:rPr>
            </w:pPr>
            <w:proofErr w:type="spellStart"/>
            <w:r w:rsidRPr="2CC8BABD">
              <w:rPr>
                <w:lang w:val="en-US"/>
              </w:rPr>
              <w:t>Profondeur</w:t>
            </w:r>
            <w:proofErr w:type="spellEnd"/>
            <w:r w:rsidRPr="2CC8BABD">
              <w:rPr>
                <w:lang w:val="en-US"/>
              </w:rPr>
              <w:t xml:space="preserve"> </w:t>
            </w:r>
            <w:proofErr w:type="spellStart"/>
            <w:r w:rsidRPr="2CC8BABD">
              <w:rPr>
                <w:lang w:val="en-US"/>
              </w:rPr>
              <w:t>d'installation</w:t>
            </w:r>
            <w:proofErr w:type="spellEnd"/>
          </w:p>
          <w:p w14:paraId="5F1B9118" w14:textId="77777777" w:rsidR="00AF69C8" w:rsidRDefault="00F732FD" w:rsidP="00C754B9">
            <w:pPr>
              <w:pStyle w:val="P68B1DB1-Standaard4"/>
              <w:jc w:val="center"/>
            </w:pPr>
            <w:r>
              <w:t>(mm)</w:t>
            </w:r>
          </w:p>
        </w:tc>
        <w:tc>
          <w:tcPr>
            <w:tcW w:w="1398" w:type="pct"/>
            <w:gridSpan w:val="2"/>
            <w:shd w:val="clear" w:color="auto" w:fill="D6E3BC" w:themeFill="accent3" w:themeFillTint="66"/>
            <w:vAlign w:val="center"/>
          </w:tcPr>
          <w:p w14:paraId="3F9A1DFC" w14:textId="77777777" w:rsidR="00AF69C8" w:rsidRPr="00AB421C" w:rsidRDefault="2CC8BABD" w:rsidP="00C754B9">
            <w:pPr>
              <w:pStyle w:val="P68B1DB1-Tekstzonderopmaak5"/>
              <w:jc w:val="center"/>
              <w:rPr>
                <w:lang w:val="fr-FR"/>
              </w:rPr>
            </w:pPr>
            <w:r w:rsidRPr="00AB421C">
              <w:rPr>
                <w:lang w:val="fr-FR"/>
              </w:rPr>
              <w:t>Capacité de ventilation (q</w:t>
            </w:r>
            <w:r w:rsidRPr="00AB421C">
              <w:rPr>
                <w:vertAlign w:val="subscript"/>
                <w:lang w:val="fr-FR"/>
              </w:rPr>
              <w:t>1</w:t>
            </w:r>
            <w:r w:rsidRPr="00AB421C">
              <w:rPr>
                <w:lang w:val="fr-FR"/>
              </w:rPr>
              <w:t>, L</w:t>
            </w:r>
            <w:r w:rsidRPr="00AB421C">
              <w:rPr>
                <w:vertAlign w:val="subscript"/>
                <w:lang w:val="fr-FR"/>
              </w:rPr>
              <w:t>0</w:t>
            </w:r>
            <w:r w:rsidRPr="00AB421C">
              <w:rPr>
                <w:lang w:val="fr-FR"/>
              </w:rPr>
              <w:t>) (m³/h)</w:t>
            </w:r>
          </w:p>
        </w:tc>
        <w:tc>
          <w:tcPr>
            <w:tcW w:w="939" w:type="pct"/>
            <w:gridSpan w:val="2"/>
            <w:shd w:val="clear" w:color="auto" w:fill="D6E3BC" w:themeFill="accent3" w:themeFillTint="66"/>
            <w:vAlign w:val="center"/>
          </w:tcPr>
          <w:p w14:paraId="167D2557" w14:textId="77777777" w:rsidR="00AF69C8" w:rsidRDefault="00F732FD" w:rsidP="00C754B9">
            <w:pPr>
              <w:pStyle w:val="P68B1DB1-Standaard4"/>
              <w:jc w:val="center"/>
            </w:pPr>
            <w:r>
              <w:t>L</w:t>
            </w:r>
            <w:r>
              <w:rPr>
                <w:vertAlign w:val="subscript"/>
              </w:rPr>
              <w:t>0</w:t>
            </w:r>
          </w:p>
        </w:tc>
        <w:tc>
          <w:tcPr>
            <w:tcW w:w="872" w:type="pct"/>
            <w:shd w:val="clear" w:color="auto" w:fill="D6E3BC" w:themeFill="accent3" w:themeFillTint="66"/>
            <w:vAlign w:val="center"/>
          </w:tcPr>
          <w:p w14:paraId="5A0E3772" w14:textId="77777777" w:rsidR="00AF69C8" w:rsidRDefault="00F732FD" w:rsidP="00C754B9">
            <w:pPr>
              <w:pStyle w:val="P68B1DB1-Standaard4"/>
              <w:jc w:val="center"/>
            </w:pPr>
            <w:proofErr w:type="spellStart"/>
            <w:r>
              <w:t>Valeur</w:t>
            </w:r>
            <w:proofErr w:type="spellEnd"/>
            <w:r>
              <w:t xml:space="preserve"> U</w:t>
            </w:r>
          </w:p>
        </w:tc>
      </w:tr>
      <w:tr w:rsidR="00AF69C8" w14:paraId="428AA4AA" w14:textId="77777777" w:rsidTr="00C3447F">
        <w:trPr>
          <w:trHeight w:val="340"/>
        </w:trPr>
        <w:tc>
          <w:tcPr>
            <w:tcW w:w="521" w:type="pct"/>
            <w:vMerge/>
            <w:vAlign w:val="center"/>
            <w:hideMark/>
          </w:tcPr>
          <w:p w14:paraId="2608F0B2" w14:textId="77777777" w:rsidR="00AF69C8" w:rsidRDefault="00AF69C8" w:rsidP="00C754B9">
            <w:pPr>
              <w:jc w:val="center"/>
              <w:rPr>
                <w:rFonts w:cs="Arial"/>
                <w:color w:val="000000"/>
              </w:rPr>
            </w:pPr>
          </w:p>
        </w:tc>
        <w:tc>
          <w:tcPr>
            <w:tcW w:w="1269" w:type="pct"/>
            <w:vMerge/>
            <w:vAlign w:val="center"/>
            <w:hideMark/>
          </w:tcPr>
          <w:p w14:paraId="4006B382" w14:textId="77777777" w:rsidR="00AF69C8" w:rsidRDefault="00AF69C8" w:rsidP="00C754B9">
            <w:pPr>
              <w:jc w:val="center"/>
              <w:rPr>
                <w:rFonts w:cs="Arial"/>
                <w:color w:val="000000"/>
              </w:rPr>
            </w:pPr>
          </w:p>
        </w:tc>
        <w:tc>
          <w:tcPr>
            <w:tcW w:w="698" w:type="pct"/>
            <w:shd w:val="clear" w:color="auto" w:fill="D6E3BC" w:themeFill="accent3" w:themeFillTint="66"/>
            <w:vAlign w:val="center"/>
          </w:tcPr>
          <w:p w14:paraId="5C2149B5" w14:textId="77777777" w:rsidR="00AF69C8" w:rsidRDefault="00F732FD" w:rsidP="00C754B9">
            <w:pPr>
              <w:pStyle w:val="P68B1DB1-Standaard4"/>
              <w:jc w:val="center"/>
            </w:pPr>
            <w:r>
              <w:t>q1</w:t>
            </w:r>
            <w:r>
              <w:rPr>
                <w:vertAlign w:val="subscript"/>
              </w:rPr>
              <w:t>, 2Pa</w:t>
            </w:r>
            <w:r>
              <w:t xml:space="preserve"> par m</w:t>
            </w:r>
          </w:p>
        </w:tc>
        <w:tc>
          <w:tcPr>
            <w:tcW w:w="701" w:type="pct"/>
            <w:shd w:val="clear" w:color="auto" w:fill="D6E3BC" w:themeFill="accent3" w:themeFillTint="66"/>
            <w:vAlign w:val="center"/>
          </w:tcPr>
          <w:p w14:paraId="04158989" w14:textId="77777777" w:rsidR="00AF69C8" w:rsidRDefault="00F732FD" w:rsidP="00C754B9">
            <w:pPr>
              <w:pStyle w:val="P68B1DB1-Standaard4"/>
              <w:jc w:val="center"/>
            </w:pPr>
            <w:r>
              <w:t>q1</w:t>
            </w:r>
            <w:r>
              <w:rPr>
                <w:vertAlign w:val="subscript"/>
              </w:rPr>
              <w:t>, 10Pa</w:t>
            </w:r>
            <w:r>
              <w:t xml:space="preserve"> par m</w:t>
            </w:r>
          </w:p>
        </w:tc>
        <w:tc>
          <w:tcPr>
            <w:tcW w:w="469" w:type="pct"/>
            <w:shd w:val="clear" w:color="auto" w:fill="D6E3BC" w:themeFill="accent3" w:themeFillTint="66"/>
            <w:vAlign w:val="center"/>
          </w:tcPr>
          <w:p w14:paraId="494A0C02" w14:textId="77777777" w:rsidR="00AF69C8" w:rsidRDefault="00F732FD" w:rsidP="00C754B9">
            <w:pPr>
              <w:pStyle w:val="P68B1DB1-Standaard4"/>
              <w:jc w:val="center"/>
            </w:pPr>
            <w:r>
              <w:t>A 2 Pa (500mm)</w:t>
            </w:r>
          </w:p>
        </w:tc>
        <w:tc>
          <w:tcPr>
            <w:tcW w:w="469" w:type="pct"/>
            <w:shd w:val="clear" w:color="auto" w:fill="D6E3BC" w:themeFill="accent3" w:themeFillTint="66"/>
            <w:vAlign w:val="center"/>
          </w:tcPr>
          <w:p w14:paraId="38BB8E41" w14:textId="77777777" w:rsidR="00AF69C8" w:rsidRDefault="00F732FD" w:rsidP="00C754B9">
            <w:pPr>
              <w:pStyle w:val="P68B1DB1-Standaard4"/>
              <w:jc w:val="center"/>
            </w:pPr>
            <w:r>
              <w:t>A 10 Pa (500mm)</w:t>
            </w:r>
          </w:p>
        </w:tc>
        <w:tc>
          <w:tcPr>
            <w:tcW w:w="872" w:type="pct"/>
            <w:shd w:val="clear" w:color="auto" w:fill="D6E3BC" w:themeFill="accent3" w:themeFillTint="66"/>
            <w:vAlign w:val="center"/>
          </w:tcPr>
          <w:p w14:paraId="0E4D322D" w14:textId="77777777" w:rsidR="00AF69C8" w:rsidRDefault="00F732FD" w:rsidP="00C754B9">
            <w:pPr>
              <w:pStyle w:val="P68B1DB1-Standaard4"/>
              <w:jc w:val="center"/>
            </w:pPr>
            <w:r>
              <w:t>W/m</w:t>
            </w:r>
            <w:r>
              <w:rPr>
                <w:vertAlign w:val="superscript"/>
              </w:rPr>
              <w:t>2</w:t>
            </w:r>
            <w:r>
              <w:t>/K</w:t>
            </w:r>
          </w:p>
        </w:tc>
      </w:tr>
      <w:tr w:rsidR="00AF69C8" w14:paraId="2EDDB845" w14:textId="77777777" w:rsidTr="00C3447F">
        <w:trPr>
          <w:trHeight w:val="241"/>
        </w:trPr>
        <w:tc>
          <w:tcPr>
            <w:tcW w:w="521" w:type="pct"/>
            <w:shd w:val="clear" w:color="auto" w:fill="auto"/>
            <w:noWrap/>
            <w:vAlign w:val="center"/>
            <w:hideMark/>
          </w:tcPr>
          <w:p w14:paraId="5BDBF010" w14:textId="77777777" w:rsidR="00AF69C8" w:rsidRDefault="00F732FD" w:rsidP="00C754B9">
            <w:pPr>
              <w:jc w:val="center"/>
              <w:rPr>
                <w:rStyle w:val="CarMarque"/>
              </w:rPr>
            </w:pPr>
            <w:r>
              <w:rPr>
                <w:rStyle w:val="CarMarque"/>
              </w:rPr>
              <w:t>Alto</w:t>
            </w:r>
          </w:p>
        </w:tc>
        <w:tc>
          <w:tcPr>
            <w:tcW w:w="1269" w:type="pct"/>
            <w:shd w:val="clear" w:color="auto" w:fill="auto"/>
            <w:noWrap/>
            <w:vAlign w:val="center"/>
            <w:hideMark/>
          </w:tcPr>
          <w:p w14:paraId="1F957BA4" w14:textId="77777777" w:rsidR="00AF69C8" w:rsidRDefault="00F732FD" w:rsidP="00C754B9">
            <w:pPr>
              <w:pStyle w:val="P68B1DB1-Standaard4"/>
              <w:jc w:val="center"/>
            </w:pPr>
            <w:r>
              <w:t>110* – 165</w:t>
            </w:r>
          </w:p>
        </w:tc>
        <w:tc>
          <w:tcPr>
            <w:tcW w:w="698" w:type="pct"/>
            <w:vAlign w:val="center"/>
          </w:tcPr>
          <w:p w14:paraId="44B516A6" w14:textId="77777777" w:rsidR="00AF69C8" w:rsidRDefault="00F732FD" w:rsidP="00C754B9">
            <w:pPr>
              <w:pStyle w:val="P68B1DB1-Standaard4"/>
              <w:jc w:val="center"/>
            </w:pPr>
            <w:r>
              <w:t>47</w:t>
            </w:r>
          </w:p>
        </w:tc>
        <w:tc>
          <w:tcPr>
            <w:tcW w:w="701" w:type="pct"/>
            <w:vAlign w:val="center"/>
          </w:tcPr>
          <w:p w14:paraId="7232B080" w14:textId="77777777" w:rsidR="00AF69C8" w:rsidRDefault="00F732FD" w:rsidP="00C754B9">
            <w:pPr>
              <w:pStyle w:val="P68B1DB1-Standaard4"/>
              <w:jc w:val="center"/>
            </w:pPr>
            <w:r>
              <w:t>61</w:t>
            </w:r>
          </w:p>
        </w:tc>
        <w:tc>
          <w:tcPr>
            <w:tcW w:w="469" w:type="pct"/>
            <w:vAlign w:val="center"/>
          </w:tcPr>
          <w:p w14:paraId="1DAA024F" w14:textId="77777777" w:rsidR="00AF69C8" w:rsidRDefault="00F732FD" w:rsidP="00C754B9">
            <w:pPr>
              <w:pStyle w:val="P68B1DB1-Standaard4"/>
              <w:jc w:val="center"/>
            </w:pPr>
            <w:r>
              <w:t>0,2</w:t>
            </w:r>
          </w:p>
        </w:tc>
        <w:tc>
          <w:tcPr>
            <w:tcW w:w="469" w:type="pct"/>
            <w:vAlign w:val="center"/>
          </w:tcPr>
          <w:p w14:paraId="1E274214" w14:textId="77777777" w:rsidR="00AF69C8" w:rsidRDefault="00F732FD" w:rsidP="00C754B9">
            <w:pPr>
              <w:pStyle w:val="P68B1DB1-Standaard4"/>
              <w:jc w:val="center"/>
            </w:pPr>
            <w:r>
              <w:t>0,2</w:t>
            </w:r>
          </w:p>
        </w:tc>
        <w:tc>
          <w:tcPr>
            <w:tcW w:w="872" w:type="pct"/>
            <w:vAlign w:val="center"/>
          </w:tcPr>
          <w:p w14:paraId="631EC7A4" w14:textId="77777777" w:rsidR="00AF69C8" w:rsidRDefault="00F732FD" w:rsidP="00C754B9">
            <w:pPr>
              <w:pStyle w:val="P68B1DB1-Standaard4"/>
              <w:jc w:val="center"/>
            </w:pPr>
            <w:r>
              <w:t>1,50</w:t>
            </w:r>
          </w:p>
        </w:tc>
      </w:tr>
      <w:tr w:rsidR="00AF69C8" w14:paraId="5FDB8C53" w14:textId="77777777" w:rsidTr="00C3447F">
        <w:trPr>
          <w:trHeight w:val="241"/>
        </w:trPr>
        <w:tc>
          <w:tcPr>
            <w:tcW w:w="521" w:type="pct"/>
            <w:shd w:val="clear" w:color="auto" w:fill="auto"/>
            <w:noWrap/>
            <w:vAlign w:val="center"/>
            <w:hideMark/>
          </w:tcPr>
          <w:p w14:paraId="0AF2F2CE" w14:textId="77777777" w:rsidR="00AF69C8" w:rsidRDefault="00F732FD" w:rsidP="00C754B9">
            <w:pPr>
              <w:jc w:val="center"/>
              <w:rPr>
                <w:rStyle w:val="CarMarque"/>
              </w:rPr>
            </w:pPr>
            <w:r>
              <w:rPr>
                <w:rStyle w:val="CarMarque"/>
              </w:rPr>
              <w:t>Largo</w:t>
            </w:r>
          </w:p>
        </w:tc>
        <w:tc>
          <w:tcPr>
            <w:tcW w:w="1269" w:type="pct"/>
            <w:shd w:val="clear" w:color="auto" w:fill="auto"/>
            <w:noWrap/>
            <w:vAlign w:val="center"/>
            <w:hideMark/>
          </w:tcPr>
          <w:p w14:paraId="2559841B" w14:textId="77777777" w:rsidR="00AF69C8" w:rsidRDefault="00F732FD" w:rsidP="00C754B9">
            <w:pPr>
              <w:pStyle w:val="P68B1DB1-Standaard4"/>
              <w:jc w:val="center"/>
            </w:pPr>
            <w:r>
              <w:t>160* – 215</w:t>
            </w:r>
          </w:p>
        </w:tc>
        <w:tc>
          <w:tcPr>
            <w:tcW w:w="698" w:type="pct"/>
            <w:vAlign w:val="center"/>
          </w:tcPr>
          <w:p w14:paraId="762DCD48" w14:textId="77777777" w:rsidR="00AF69C8" w:rsidRDefault="00F732FD" w:rsidP="00C754B9">
            <w:pPr>
              <w:pStyle w:val="P68B1DB1-Standaard4"/>
              <w:jc w:val="center"/>
            </w:pPr>
            <w:r>
              <w:t>47</w:t>
            </w:r>
          </w:p>
        </w:tc>
        <w:tc>
          <w:tcPr>
            <w:tcW w:w="701" w:type="pct"/>
            <w:vAlign w:val="center"/>
          </w:tcPr>
          <w:p w14:paraId="56293C50" w14:textId="77777777" w:rsidR="00AF69C8" w:rsidRDefault="00F732FD" w:rsidP="00C754B9">
            <w:pPr>
              <w:pStyle w:val="P68B1DB1-Standaard4"/>
              <w:jc w:val="center"/>
            </w:pPr>
            <w:r>
              <w:t>61</w:t>
            </w:r>
          </w:p>
        </w:tc>
        <w:tc>
          <w:tcPr>
            <w:tcW w:w="469" w:type="pct"/>
            <w:vAlign w:val="center"/>
          </w:tcPr>
          <w:p w14:paraId="06FBBE54" w14:textId="77777777" w:rsidR="00AF69C8" w:rsidRDefault="00F732FD" w:rsidP="00C754B9">
            <w:pPr>
              <w:pStyle w:val="P68B1DB1-Standaard4"/>
              <w:jc w:val="center"/>
            </w:pPr>
            <w:r>
              <w:t>0,2</w:t>
            </w:r>
          </w:p>
        </w:tc>
        <w:tc>
          <w:tcPr>
            <w:tcW w:w="469" w:type="pct"/>
            <w:vAlign w:val="center"/>
          </w:tcPr>
          <w:p w14:paraId="02C15A43" w14:textId="77777777" w:rsidR="00AF69C8" w:rsidRDefault="00F732FD" w:rsidP="00C754B9">
            <w:pPr>
              <w:pStyle w:val="P68B1DB1-Standaard4"/>
              <w:jc w:val="center"/>
            </w:pPr>
            <w:r>
              <w:t>0,2</w:t>
            </w:r>
          </w:p>
        </w:tc>
        <w:tc>
          <w:tcPr>
            <w:tcW w:w="872" w:type="pct"/>
            <w:vAlign w:val="center"/>
          </w:tcPr>
          <w:p w14:paraId="4EB0633A" w14:textId="77777777" w:rsidR="00AF69C8" w:rsidRDefault="00F732FD" w:rsidP="00C754B9">
            <w:pPr>
              <w:pStyle w:val="P68B1DB1-Standaard4"/>
              <w:jc w:val="center"/>
            </w:pPr>
            <w:r>
              <w:t>1,31</w:t>
            </w:r>
          </w:p>
        </w:tc>
      </w:tr>
    </w:tbl>
    <w:p w14:paraId="04A33E59" w14:textId="77777777" w:rsidR="00AF69C8" w:rsidRPr="00AB421C" w:rsidRDefault="2CC8BABD" w:rsidP="2CC8BABD">
      <w:pPr>
        <w:rPr>
          <w:lang w:val="fr-FR"/>
        </w:rPr>
      </w:pPr>
      <w:r w:rsidRPr="00AB421C">
        <w:rPr>
          <w:lang w:val="fr-FR"/>
        </w:rPr>
        <w:t>* Également applicable à partir de 60 mm avec un profilé inférieur allongé</w:t>
      </w:r>
    </w:p>
    <w:p w14:paraId="059B88EB" w14:textId="77777777" w:rsidR="00AF69C8" w:rsidRPr="00AB421C" w:rsidRDefault="00AF69C8">
      <w:pPr>
        <w:rPr>
          <w:lang w:val="fr-FR"/>
        </w:rPr>
      </w:pPr>
    </w:p>
    <w:p w14:paraId="4D1F27F9" w14:textId="349DF2B1" w:rsidR="00AF69C8" w:rsidRDefault="2CC8BABD" w:rsidP="2CC8BABD">
      <w:pPr>
        <w:jc w:val="left"/>
        <w:rPr>
          <w:lang w:val="fr-FR"/>
        </w:rPr>
      </w:pPr>
      <w:r w:rsidRPr="2CC8BABD">
        <w:rPr>
          <w:lang w:val="fr-FR"/>
        </w:rPr>
        <w:t xml:space="preserve">Tableau des valeurs insonorisation </w:t>
      </w:r>
      <w:proofErr w:type="spellStart"/>
      <w:r w:rsidR="005404ED" w:rsidRPr="005404ED">
        <w:rPr>
          <w:rStyle w:val="MerkChar"/>
          <w:lang w:val="fr-FR"/>
        </w:rPr>
        <w:t>TronicSkyVent</w:t>
      </w:r>
      <w:proofErr w:type="spellEnd"/>
      <w:r w:rsidR="005404ED" w:rsidRPr="005404ED">
        <w:rPr>
          <w:rStyle w:val="MerkChar"/>
          <w:lang w:val="fr-FR"/>
        </w:rPr>
        <w:t xml:space="preserve"> BE</w:t>
      </w:r>
      <w:r w:rsidR="005404ED">
        <w:rPr>
          <w:lang w:val="fr-FR"/>
        </w:rPr>
        <w:t xml:space="preserve"> </w:t>
      </w:r>
      <w:r w:rsidRPr="2CC8BABD">
        <w:rPr>
          <w:rStyle w:val="MerkChar"/>
          <w:lang w:val="fr-FR"/>
        </w:rPr>
        <w:t xml:space="preserve">AK+ </w:t>
      </w:r>
      <w:r w:rsidRPr="2CC8BABD">
        <w:rPr>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9"/>
        <w:gridCol w:w="2167"/>
        <w:gridCol w:w="1652"/>
        <w:gridCol w:w="1723"/>
        <w:gridCol w:w="1552"/>
        <w:gridCol w:w="1556"/>
      </w:tblGrid>
      <w:tr w:rsidR="00AF69C8" w14:paraId="48B2CA05" w14:textId="77777777" w:rsidTr="00C754B9">
        <w:trPr>
          <w:trHeight w:val="170"/>
        </w:trPr>
        <w:tc>
          <w:tcPr>
            <w:tcW w:w="513" w:type="pct"/>
            <w:vMerge w:val="restart"/>
            <w:shd w:val="clear" w:color="auto" w:fill="D6E3BC" w:themeFill="accent3" w:themeFillTint="66"/>
            <w:noWrap/>
            <w:vAlign w:val="center"/>
            <w:hideMark/>
          </w:tcPr>
          <w:p w14:paraId="3F4D53B9" w14:textId="77777777" w:rsidR="00AF69C8" w:rsidRDefault="00F732FD">
            <w:pPr>
              <w:pStyle w:val="P68B1DB1-Standaard4"/>
              <w:jc w:val="center"/>
            </w:pPr>
            <w:r>
              <w:t>Type</w:t>
            </w:r>
          </w:p>
        </w:tc>
        <w:tc>
          <w:tcPr>
            <w:tcW w:w="1104" w:type="pct"/>
            <w:vMerge w:val="restart"/>
            <w:shd w:val="clear" w:color="auto" w:fill="D6E3BC" w:themeFill="accent3" w:themeFillTint="66"/>
            <w:noWrap/>
            <w:vAlign w:val="center"/>
            <w:hideMark/>
          </w:tcPr>
          <w:p w14:paraId="1491C477" w14:textId="77777777" w:rsidR="00AF69C8" w:rsidRDefault="2CC8BABD" w:rsidP="2CC8BABD">
            <w:pPr>
              <w:pStyle w:val="P68B1DB1-Standaard4"/>
              <w:jc w:val="center"/>
              <w:rPr>
                <w:lang w:val="en-US"/>
              </w:rPr>
            </w:pPr>
            <w:proofErr w:type="spellStart"/>
            <w:r w:rsidRPr="2CC8BABD">
              <w:rPr>
                <w:lang w:val="en-US"/>
              </w:rPr>
              <w:t>Profondeur</w:t>
            </w:r>
            <w:proofErr w:type="spellEnd"/>
            <w:r w:rsidRPr="2CC8BABD">
              <w:rPr>
                <w:lang w:val="en-US"/>
              </w:rPr>
              <w:t xml:space="preserve"> </w:t>
            </w:r>
            <w:proofErr w:type="spellStart"/>
            <w:r w:rsidRPr="2CC8BABD">
              <w:rPr>
                <w:lang w:val="en-US"/>
              </w:rPr>
              <w:t>d'installation</w:t>
            </w:r>
            <w:proofErr w:type="spellEnd"/>
          </w:p>
          <w:p w14:paraId="372ABE0E" w14:textId="77777777" w:rsidR="00AF69C8" w:rsidRDefault="00F732FD">
            <w:pPr>
              <w:pStyle w:val="P68B1DB1-Standaard4"/>
              <w:jc w:val="center"/>
            </w:pPr>
            <w:r>
              <w:t>(mm)</w:t>
            </w:r>
          </w:p>
        </w:tc>
        <w:tc>
          <w:tcPr>
            <w:tcW w:w="3383" w:type="pct"/>
            <w:gridSpan w:val="4"/>
            <w:shd w:val="clear" w:color="auto" w:fill="D6E3BC" w:themeFill="accent3" w:themeFillTint="66"/>
            <w:noWrap/>
            <w:vAlign w:val="center"/>
            <w:hideMark/>
          </w:tcPr>
          <w:p w14:paraId="7DC9FB18" w14:textId="77777777" w:rsidR="00AF69C8" w:rsidRDefault="2CC8BABD" w:rsidP="2CC8BABD">
            <w:pPr>
              <w:pStyle w:val="P68B1DB1-Standaard4"/>
              <w:jc w:val="center"/>
              <w:rPr>
                <w:lang w:val="en-US"/>
              </w:rPr>
            </w:pPr>
            <w:r w:rsidRPr="2CC8BABD">
              <w:rPr>
                <w:lang w:val="en-US"/>
              </w:rPr>
              <w:t xml:space="preserve">Version </w:t>
            </w:r>
            <w:proofErr w:type="spellStart"/>
            <w:r w:rsidRPr="2CC8BABD">
              <w:rPr>
                <w:lang w:val="en-US"/>
              </w:rPr>
              <w:t>acoustique</w:t>
            </w:r>
            <w:proofErr w:type="spellEnd"/>
          </w:p>
        </w:tc>
      </w:tr>
      <w:tr w:rsidR="00AF69C8" w:rsidRPr="001427D9" w14:paraId="6F1811C4" w14:textId="77777777" w:rsidTr="00C754B9">
        <w:trPr>
          <w:trHeight w:val="340"/>
        </w:trPr>
        <w:tc>
          <w:tcPr>
            <w:tcW w:w="513" w:type="pct"/>
            <w:vMerge/>
            <w:vAlign w:val="center"/>
            <w:hideMark/>
          </w:tcPr>
          <w:p w14:paraId="0DFCF6DD" w14:textId="77777777" w:rsidR="00AF69C8" w:rsidRDefault="00AF69C8">
            <w:pPr>
              <w:jc w:val="center"/>
              <w:rPr>
                <w:rFonts w:cs="Arial"/>
                <w:color w:val="000000"/>
              </w:rPr>
            </w:pPr>
          </w:p>
        </w:tc>
        <w:tc>
          <w:tcPr>
            <w:tcW w:w="1104" w:type="pct"/>
            <w:vMerge/>
            <w:vAlign w:val="center"/>
            <w:hideMark/>
          </w:tcPr>
          <w:p w14:paraId="3C9735FB" w14:textId="77777777" w:rsidR="00AF69C8" w:rsidRDefault="00AF69C8">
            <w:pPr>
              <w:jc w:val="center"/>
              <w:rPr>
                <w:rFonts w:cs="Arial"/>
                <w:color w:val="000000"/>
              </w:rPr>
            </w:pPr>
          </w:p>
        </w:tc>
        <w:tc>
          <w:tcPr>
            <w:tcW w:w="862" w:type="pct"/>
            <w:shd w:val="clear" w:color="auto" w:fill="D6E3BC" w:themeFill="accent3" w:themeFillTint="66"/>
            <w:noWrap/>
            <w:vAlign w:val="center"/>
            <w:hideMark/>
          </w:tcPr>
          <w:p w14:paraId="0FFEB2C8" w14:textId="77777777" w:rsidR="00AF69C8" w:rsidRDefault="00F732FD">
            <w:pPr>
              <w:pStyle w:val="P68B1DB1-Standaard4"/>
              <w:jc w:val="center"/>
            </w:pPr>
            <w:proofErr w:type="spellStart"/>
            <w:r>
              <w:t>Position</w:t>
            </w:r>
            <w:proofErr w:type="spellEnd"/>
          </w:p>
        </w:tc>
        <w:tc>
          <w:tcPr>
            <w:tcW w:w="899" w:type="pct"/>
            <w:shd w:val="clear" w:color="auto" w:fill="D6E3BC" w:themeFill="accent3" w:themeFillTint="66"/>
            <w:vAlign w:val="center"/>
            <w:hideMark/>
          </w:tcPr>
          <w:p w14:paraId="391D58E8" w14:textId="77777777" w:rsidR="00AF69C8" w:rsidRPr="00AB421C" w:rsidRDefault="2CC8BABD" w:rsidP="2CC8BABD">
            <w:pPr>
              <w:pStyle w:val="P68B1DB1-Standaard4"/>
              <w:jc w:val="center"/>
              <w:rPr>
                <w:lang w:val="de-DE"/>
              </w:rPr>
            </w:pPr>
            <w:proofErr w:type="spellStart"/>
            <w:r w:rsidRPr="00AB421C">
              <w:rPr>
                <w:lang w:val="de-DE"/>
              </w:rPr>
              <w:t>D</w:t>
            </w:r>
            <w:r w:rsidRPr="00AB421C">
              <w:rPr>
                <w:vertAlign w:val="subscript"/>
                <w:lang w:val="de-DE"/>
              </w:rPr>
              <w:t>n,e,W</w:t>
            </w:r>
            <w:proofErr w:type="spellEnd"/>
            <w:r w:rsidRPr="00AB421C">
              <w:rPr>
                <w:lang w:val="de-DE"/>
              </w:rPr>
              <w:t xml:space="preserve"> (</w:t>
            </w:r>
            <w:proofErr w:type="spellStart"/>
            <w:r w:rsidRPr="00AB421C">
              <w:rPr>
                <w:lang w:val="de-DE"/>
              </w:rPr>
              <w:t>C;C</w:t>
            </w:r>
            <w:r w:rsidRPr="00AB421C">
              <w:rPr>
                <w:vertAlign w:val="subscript"/>
                <w:lang w:val="de-DE"/>
              </w:rPr>
              <w:t>tr</w:t>
            </w:r>
            <w:proofErr w:type="spellEnd"/>
            <w:r w:rsidRPr="00AB421C">
              <w:rPr>
                <w:lang w:val="de-DE"/>
              </w:rPr>
              <w:t>)</w:t>
            </w:r>
            <w:r w:rsidR="00F732FD" w:rsidRPr="00AB421C">
              <w:rPr>
                <w:lang w:val="de-DE"/>
              </w:rPr>
              <w:br/>
            </w:r>
            <w:r w:rsidRPr="00AB421C">
              <w:rPr>
                <w:lang w:val="de-DE"/>
              </w:rPr>
              <w:t>en dB</w:t>
            </w:r>
          </w:p>
        </w:tc>
        <w:tc>
          <w:tcPr>
            <w:tcW w:w="810" w:type="pct"/>
            <w:shd w:val="clear" w:color="auto" w:fill="D6E3BC" w:themeFill="accent3" w:themeFillTint="66"/>
            <w:vAlign w:val="center"/>
          </w:tcPr>
          <w:p w14:paraId="35E8833D" w14:textId="77777777" w:rsidR="00AF69C8" w:rsidRDefault="00F732FD">
            <w:pPr>
              <w:pStyle w:val="P68B1DB1-Standaard4"/>
              <w:jc w:val="center"/>
            </w:pPr>
            <w:proofErr w:type="spellStart"/>
            <w:r>
              <w:t>Position</w:t>
            </w:r>
            <w:proofErr w:type="spellEnd"/>
          </w:p>
        </w:tc>
        <w:tc>
          <w:tcPr>
            <w:tcW w:w="812" w:type="pct"/>
            <w:shd w:val="clear" w:color="auto" w:fill="D6E3BC" w:themeFill="accent3" w:themeFillTint="66"/>
            <w:vAlign w:val="center"/>
          </w:tcPr>
          <w:p w14:paraId="33FF9586" w14:textId="77777777" w:rsidR="00AF69C8" w:rsidRPr="00AB421C" w:rsidRDefault="2CC8BABD" w:rsidP="2CC8BABD">
            <w:pPr>
              <w:pStyle w:val="P68B1DB1-Standaard4"/>
              <w:jc w:val="center"/>
              <w:rPr>
                <w:lang w:val="de-DE"/>
              </w:rPr>
            </w:pPr>
            <w:proofErr w:type="spellStart"/>
            <w:r w:rsidRPr="00AB421C">
              <w:rPr>
                <w:lang w:val="de-DE"/>
              </w:rPr>
              <w:t>D</w:t>
            </w:r>
            <w:r w:rsidRPr="00AB421C">
              <w:rPr>
                <w:vertAlign w:val="subscript"/>
                <w:lang w:val="de-DE"/>
              </w:rPr>
              <w:t>n,e,W</w:t>
            </w:r>
            <w:proofErr w:type="spellEnd"/>
            <w:r w:rsidRPr="00AB421C">
              <w:rPr>
                <w:lang w:val="de-DE"/>
              </w:rPr>
              <w:t xml:space="preserve"> (</w:t>
            </w:r>
            <w:proofErr w:type="spellStart"/>
            <w:r w:rsidRPr="00AB421C">
              <w:rPr>
                <w:lang w:val="de-DE"/>
              </w:rPr>
              <w:t>C;C</w:t>
            </w:r>
            <w:r w:rsidRPr="00AB421C">
              <w:rPr>
                <w:vertAlign w:val="subscript"/>
                <w:lang w:val="de-DE"/>
              </w:rPr>
              <w:t>tr</w:t>
            </w:r>
            <w:proofErr w:type="spellEnd"/>
            <w:r w:rsidRPr="00AB421C">
              <w:rPr>
                <w:lang w:val="de-DE"/>
              </w:rPr>
              <w:t>)</w:t>
            </w:r>
            <w:r w:rsidR="00F732FD" w:rsidRPr="00AB421C">
              <w:rPr>
                <w:lang w:val="de-DE"/>
              </w:rPr>
              <w:br/>
            </w:r>
            <w:r w:rsidRPr="00AB421C">
              <w:rPr>
                <w:lang w:val="de-DE"/>
              </w:rPr>
              <w:t>en dB</w:t>
            </w:r>
          </w:p>
        </w:tc>
      </w:tr>
      <w:tr w:rsidR="00AF69C8" w14:paraId="45A82228" w14:textId="77777777" w:rsidTr="00C754B9">
        <w:trPr>
          <w:trHeight w:val="289"/>
        </w:trPr>
        <w:tc>
          <w:tcPr>
            <w:tcW w:w="513" w:type="pct"/>
            <w:shd w:val="clear" w:color="auto" w:fill="auto"/>
            <w:noWrap/>
            <w:vAlign w:val="center"/>
            <w:hideMark/>
          </w:tcPr>
          <w:p w14:paraId="096E6F1D" w14:textId="77777777" w:rsidR="00AF69C8" w:rsidRDefault="00F732FD">
            <w:pPr>
              <w:jc w:val="center"/>
              <w:rPr>
                <w:rStyle w:val="CarMarque"/>
              </w:rPr>
            </w:pPr>
            <w:r>
              <w:rPr>
                <w:rStyle w:val="CarMarque"/>
              </w:rPr>
              <w:t>Alto</w:t>
            </w:r>
          </w:p>
        </w:tc>
        <w:tc>
          <w:tcPr>
            <w:tcW w:w="1104" w:type="pct"/>
            <w:shd w:val="clear" w:color="auto" w:fill="auto"/>
            <w:noWrap/>
            <w:vAlign w:val="center"/>
            <w:hideMark/>
          </w:tcPr>
          <w:p w14:paraId="6CA95604" w14:textId="77777777" w:rsidR="00AF69C8" w:rsidRDefault="00F732FD">
            <w:pPr>
              <w:pStyle w:val="P68B1DB1-Standaard4"/>
              <w:jc w:val="center"/>
            </w:pPr>
            <w:r>
              <w:t>60* – 165</w:t>
            </w:r>
          </w:p>
        </w:tc>
        <w:tc>
          <w:tcPr>
            <w:tcW w:w="862" w:type="pct"/>
            <w:shd w:val="clear" w:color="auto" w:fill="auto"/>
            <w:noWrap/>
            <w:vAlign w:val="bottom"/>
            <w:hideMark/>
          </w:tcPr>
          <w:p w14:paraId="3755D748"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99" w:type="pct"/>
            <w:shd w:val="clear" w:color="auto" w:fill="auto"/>
            <w:noWrap/>
            <w:vAlign w:val="bottom"/>
            <w:hideMark/>
          </w:tcPr>
          <w:p w14:paraId="7330BA7F" w14:textId="77777777" w:rsidR="00AF69C8" w:rsidRDefault="2CC8BABD" w:rsidP="2CC8BABD">
            <w:pPr>
              <w:pStyle w:val="P68B1DB1-Standaard4"/>
              <w:jc w:val="center"/>
              <w:rPr>
                <w:lang w:val="en-US"/>
              </w:rPr>
            </w:pPr>
            <w:r w:rsidRPr="2CC8BABD">
              <w:rPr>
                <w:lang w:val="en-US"/>
              </w:rPr>
              <w:t xml:space="preserve"> 38 (-1;-3)</w:t>
            </w:r>
          </w:p>
        </w:tc>
        <w:tc>
          <w:tcPr>
            <w:tcW w:w="810" w:type="pct"/>
          </w:tcPr>
          <w:p w14:paraId="2F6F9612" w14:textId="77777777" w:rsidR="00AF69C8" w:rsidRDefault="00F732FD">
            <w:pPr>
              <w:pStyle w:val="P68B1DB1-Standaard4"/>
              <w:jc w:val="center"/>
            </w:pPr>
            <w:r>
              <w:t>Fermé</w:t>
            </w:r>
          </w:p>
        </w:tc>
        <w:tc>
          <w:tcPr>
            <w:tcW w:w="812" w:type="pct"/>
            <w:vAlign w:val="bottom"/>
          </w:tcPr>
          <w:p w14:paraId="66DCF4CC" w14:textId="77777777" w:rsidR="00AF69C8" w:rsidRDefault="2CC8BABD" w:rsidP="2CC8BABD">
            <w:pPr>
              <w:pStyle w:val="P68B1DB1-Standaard4"/>
              <w:jc w:val="center"/>
              <w:rPr>
                <w:lang w:val="en-US"/>
              </w:rPr>
            </w:pPr>
            <w:r w:rsidRPr="2CC8BABD">
              <w:rPr>
                <w:lang w:val="en-US"/>
              </w:rPr>
              <w:t>55 (0;-3)</w:t>
            </w:r>
          </w:p>
        </w:tc>
      </w:tr>
      <w:tr w:rsidR="00AF69C8" w14:paraId="1552EDDC" w14:textId="77777777" w:rsidTr="00C754B9">
        <w:trPr>
          <w:trHeight w:val="289"/>
        </w:trPr>
        <w:tc>
          <w:tcPr>
            <w:tcW w:w="513" w:type="pct"/>
            <w:shd w:val="clear" w:color="auto" w:fill="auto"/>
            <w:noWrap/>
            <w:vAlign w:val="center"/>
            <w:hideMark/>
          </w:tcPr>
          <w:p w14:paraId="5E332F85" w14:textId="77777777" w:rsidR="00AF69C8" w:rsidRDefault="00F732FD">
            <w:pPr>
              <w:jc w:val="center"/>
              <w:rPr>
                <w:rStyle w:val="CarMarque"/>
              </w:rPr>
            </w:pPr>
            <w:r>
              <w:rPr>
                <w:rStyle w:val="CarMarque"/>
              </w:rPr>
              <w:t>Largo</w:t>
            </w:r>
          </w:p>
        </w:tc>
        <w:tc>
          <w:tcPr>
            <w:tcW w:w="1104" w:type="pct"/>
            <w:shd w:val="clear" w:color="auto" w:fill="auto"/>
            <w:noWrap/>
            <w:vAlign w:val="center"/>
            <w:hideMark/>
          </w:tcPr>
          <w:p w14:paraId="6CB2FD18" w14:textId="77777777" w:rsidR="00AF69C8" w:rsidRDefault="00F732FD">
            <w:pPr>
              <w:pStyle w:val="P68B1DB1-Standaard4"/>
              <w:jc w:val="center"/>
            </w:pPr>
            <w:r>
              <w:t>160* – 215</w:t>
            </w:r>
          </w:p>
        </w:tc>
        <w:tc>
          <w:tcPr>
            <w:tcW w:w="862" w:type="pct"/>
            <w:shd w:val="clear" w:color="auto" w:fill="auto"/>
            <w:noWrap/>
            <w:vAlign w:val="bottom"/>
            <w:hideMark/>
          </w:tcPr>
          <w:p w14:paraId="29A4849F" w14:textId="77777777" w:rsidR="00AF69C8" w:rsidRDefault="2CC8BABD" w:rsidP="2CC8BABD">
            <w:pPr>
              <w:pStyle w:val="P68B1DB1-Standaard4"/>
              <w:jc w:val="center"/>
              <w:rPr>
                <w:lang w:val="en-US"/>
              </w:rPr>
            </w:pPr>
            <w:proofErr w:type="spellStart"/>
            <w:r w:rsidRPr="2CC8BABD">
              <w:rPr>
                <w:lang w:val="en-US"/>
              </w:rPr>
              <w:t>Ouvert</w:t>
            </w:r>
            <w:proofErr w:type="spellEnd"/>
          </w:p>
        </w:tc>
        <w:tc>
          <w:tcPr>
            <w:tcW w:w="899" w:type="pct"/>
            <w:shd w:val="clear" w:color="auto" w:fill="auto"/>
            <w:noWrap/>
            <w:vAlign w:val="bottom"/>
            <w:hideMark/>
          </w:tcPr>
          <w:p w14:paraId="278087D4" w14:textId="77777777" w:rsidR="00AF69C8" w:rsidRDefault="2CC8BABD" w:rsidP="2CC8BABD">
            <w:pPr>
              <w:pStyle w:val="P68B1DB1-Standaard4"/>
              <w:jc w:val="center"/>
              <w:rPr>
                <w:lang w:val="en-US"/>
              </w:rPr>
            </w:pPr>
            <w:r w:rsidRPr="2CC8BABD">
              <w:rPr>
                <w:lang w:val="en-US"/>
              </w:rPr>
              <w:t xml:space="preserve"> 40 (0;-2)</w:t>
            </w:r>
          </w:p>
        </w:tc>
        <w:tc>
          <w:tcPr>
            <w:tcW w:w="810" w:type="pct"/>
          </w:tcPr>
          <w:p w14:paraId="08E78F1C" w14:textId="77777777" w:rsidR="00AF69C8" w:rsidRDefault="00F732FD">
            <w:pPr>
              <w:pStyle w:val="P68B1DB1-Standaard4"/>
              <w:jc w:val="center"/>
            </w:pPr>
            <w:r>
              <w:t>Fermé</w:t>
            </w:r>
          </w:p>
        </w:tc>
        <w:tc>
          <w:tcPr>
            <w:tcW w:w="812" w:type="pct"/>
            <w:vAlign w:val="bottom"/>
          </w:tcPr>
          <w:p w14:paraId="3669D667" w14:textId="77777777" w:rsidR="00AF69C8" w:rsidRDefault="2CC8BABD" w:rsidP="2CC8BABD">
            <w:pPr>
              <w:pStyle w:val="P68B1DB1-Standaard4"/>
              <w:jc w:val="center"/>
              <w:rPr>
                <w:lang w:val="en-US"/>
              </w:rPr>
            </w:pPr>
            <w:r w:rsidRPr="2CC8BABD">
              <w:rPr>
                <w:lang w:val="en-US"/>
              </w:rPr>
              <w:t>56 (-1;-4)</w:t>
            </w:r>
          </w:p>
        </w:tc>
      </w:tr>
    </w:tbl>
    <w:p w14:paraId="297BCC7E" w14:textId="77777777" w:rsidR="00AF69C8" w:rsidRPr="00AB421C" w:rsidRDefault="2CC8BABD" w:rsidP="2CC8BABD">
      <w:pPr>
        <w:rPr>
          <w:lang w:val="fr-FR"/>
        </w:rPr>
      </w:pPr>
      <w:r w:rsidRPr="00AB421C">
        <w:rPr>
          <w:lang w:val="fr-FR"/>
        </w:rPr>
        <w:t>* Également applicable à partir de 60 mm avec un profilé inférieur allongé</w:t>
      </w:r>
    </w:p>
    <w:p w14:paraId="0D60C0C3" w14:textId="77777777" w:rsidR="00AF69C8" w:rsidRPr="00AB421C" w:rsidRDefault="2CC8BABD">
      <w:pPr>
        <w:rPr>
          <w:lang w:val="fr-FR"/>
        </w:rPr>
      </w:pPr>
      <w:r w:rsidRPr="00AB421C">
        <w:rPr>
          <w:lang w:val="fr-FR"/>
        </w:rPr>
        <w:t xml:space="preserve">Toutes les valeurs de bande d'octave (en dB) sont disponibles gratuitement </w:t>
      </w:r>
      <w:r w:rsidRPr="00216B57">
        <w:rPr>
          <w:lang w:val="fr-FR"/>
        </w:rPr>
        <w:t xml:space="preserve">auprès </w:t>
      </w:r>
      <w:r w:rsidRPr="00255660">
        <w:rPr>
          <w:rStyle w:val="MerkChar"/>
          <w:color w:val="auto"/>
          <w:lang w:val="fr-FR"/>
        </w:rPr>
        <w:t xml:space="preserve">de </w:t>
      </w:r>
      <w:r w:rsidRPr="00255660">
        <w:rPr>
          <w:rStyle w:val="MerkChar"/>
          <w:lang w:val="fr-FR"/>
        </w:rPr>
        <w:t>DUCO 'Ventilation &amp; Sun Control'</w:t>
      </w:r>
      <w:r w:rsidRPr="00AB421C">
        <w:rPr>
          <w:lang w:val="fr-FR"/>
        </w:rPr>
        <w:t>.</w:t>
      </w:r>
    </w:p>
    <w:p w14:paraId="53CFBB27" w14:textId="77777777" w:rsidR="00AF69C8" w:rsidRPr="00AB421C" w:rsidRDefault="00AF69C8">
      <w:pPr>
        <w:jc w:val="left"/>
        <w:rPr>
          <w:lang w:val="fr-FR"/>
        </w:rPr>
      </w:pPr>
    </w:p>
    <w:p w14:paraId="055A06E2" w14:textId="7D5C6392" w:rsidR="00AF69C8" w:rsidRPr="00AB421C" w:rsidRDefault="00AF69C8">
      <w:pPr>
        <w:jc w:val="left"/>
        <w:rPr>
          <w:lang w:val="fr-FR"/>
        </w:rPr>
      </w:pPr>
    </w:p>
    <w:p w14:paraId="7F2F1EF8" w14:textId="77777777" w:rsidR="00AF69C8" w:rsidRPr="00AB421C" w:rsidRDefault="2CC8BABD">
      <w:pPr>
        <w:tabs>
          <w:tab w:val="left" w:pos="3686"/>
        </w:tabs>
        <w:rPr>
          <w:lang w:val="fr-FR"/>
        </w:rPr>
      </w:pPr>
      <w:r w:rsidRPr="00AB421C">
        <w:rPr>
          <w:lang w:val="fr-FR"/>
        </w:rPr>
        <w:t>Clapet autoréglable :</w:t>
      </w:r>
      <w:r w:rsidR="00F732FD" w:rsidRPr="00AB421C">
        <w:rPr>
          <w:lang w:val="fr-FR"/>
        </w:rPr>
        <w:tab/>
      </w:r>
      <w:r w:rsidRPr="00AB421C">
        <w:rPr>
          <w:lang w:val="fr-FR"/>
        </w:rPr>
        <w:t>Disponible en standard</w:t>
      </w:r>
    </w:p>
    <w:p w14:paraId="4DC40A87" w14:textId="77777777" w:rsidR="00AF69C8" w:rsidRPr="00AB421C" w:rsidRDefault="00AF69C8">
      <w:pPr>
        <w:tabs>
          <w:tab w:val="left" w:pos="3686"/>
        </w:tabs>
        <w:rPr>
          <w:lang w:val="fr-FR"/>
        </w:rPr>
      </w:pPr>
    </w:p>
    <w:p w14:paraId="74D4AF63" w14:textId="77777777" w:rsidR="00AF69C8" w:rsidRPr="00AB421C" w:rsidRDefault="2CC8BABD">
      <w:pPr>
        <w:tabs>
          <w:tab w:val="left" w:pos="3686"/>
        </w:tabs>
        <w:rPr>
          <w:lang w:val="fr-FR"/>
        </w:rPr>
      </w:pPr>
      <w:r w:rsidRPr="00AB421C">
        <w:rPr>
          <w:lang w:val="fr-FR"/>
        </w:rPr>
        <w:t>Contrôlabilité en fonction de la différence de pression :</w:t>
      </w:r>
      <w:r w:rsidR="00F732FD" w:rsidRPr="00AB421C">
        <w:rPr>
          <w:lang w:val="fr-FR"/>
        </w:rPr>
        <w:tab/>
      </w:r>
      <w:r w:rsidRPr="00AB421C">
        <w:rPr>
          <w:lang w:val="fr-FR"/>
        </w:rPr>
        <w:t>P3</w:t>
      </w:r>
    </w:p>
    <w:p w14:paraId="50D23DF8" w14:textId="77777777" w:rsidR="00AF69C8" w:rsidRPr="00AB421C" w:rsidRDefault="00AF69C8">
      <w:pPr>
        <w:rPr>
          <w:lang w:val="fr-FR"/>
        </w:rPr>
      </w:pPr>
    </w:p>
    <w:p w14:paraId="4F69A19A" w14:textId="7388B43F" w:rsidR="00AF69C8" w:rsidRPr="00AB421C" w:rsidRDefault="2CC8BABD">
      <w:pPr>
        <w:rPr>
          <w:lang w:val="en-US"/>
        </w:rPr>
      </w:pPr>
      <w:proofErr w:type="spellStart"/>
      <w:r w:rsidRPr="2CC8BABD">
        <w:rPr>
          <w:lang w:val="en-US"/>
        </w:rPr>
        <w:t>Facteur</w:t>
      </w:r>
      <w:proofErr w:type="spellEnd"/>
      <w:r w:rsidRPr="2CC8BABD">
        <w:rPr>
          <w:lang w:val="en-US"/>
        </w:rPr>
        <w:t xml:space="preserve"> F : </w:t>
      </w:r>
    </w:p>
    <w:p w14:paraId="47996A0E" w14:textId="09909148" w:rsidR="00AF69C8" w:rsidRDefault="005404ED" w:rsidP="2CC8BABD">
      <w:pPr>
        <w:ind w:firstLine="720"/>
        <w:rPr>
          <w:rStyle w:val="MerkChar"/>
          <w:color w:val="auto"/>
          <w:lang w:val="en-US"/>
        </w:rPr>
      </w:pPr>
      <w:proofErr w:type="spellStart"/>
      <w:r w:rsidRPr="00216B57">
        <w:rPr>
          <w:rStyle w:val="MerkChar"/>
          <w:lang w:val="en-US"/>
        </w:rPr>
        <w:t>TronicSkyVent</w:t>
      </w:r>
      <w:proofErr w:type="spellEnd"/>
      <w:r w:rsidRPr="00216B57">
        <w:rPr>
          <w:rStyle w:val="MerkChar"/>
          <w:lang w:val="en-US"/>
        </w:rPr>
        <w:t xml:space="preserve"> BE</w:t>
      </w:r>
      <w:r w:rsidR="2CC8BABD" w:rsidRPr="2CC8BABD">
        <w:rPr>
          <w:rStyle w:val="MerkChar"/>
          <w:color w:val="auto"/>
          <w:lang w:val="en-US"/>
        </w:rPr>
        <w:t>:</w:t>
      </w:r>
    </w:p>
    <w:p w14:paraId="638679F1" w14:textId="68780CD3" w:rsidR="00AF69C8" w:rsidRPr="00AB421C" w:rsidRDefault="00F732FD">
      <w:pPr>
        <w:ind w:left="2880" w:firstLine="806"/>
        <w:rPr>
          <w:lang w:val="en-US"/>
        </w:rPr>
      </w:pPr>
      <w:r w:rsidRPr="00255660">
        <w:rPr>
          <w:rStyle w:val="MerkChar"/>
          <w:lang w:val="en-US"/>
        </w:rPr>
        <w:t>Medio</w:t>
      </w:r>
      <w:r w:rsidRPr="00AB421C">
        <w:rPr>
          <w:rStyle w:val="MerkChar"/>
          <w:color w:val="auto"/>
          <w:lang w:val="en-US"/>
        </w:rPr>
        <w:t xml:space="preserve">: </w:t>
      </w:r>
      <w:r w:rsidRPr="00AB421C">
        <w:rPr>
          <w:lang w:val="en-US"/>
        </w:rPr>
        <w:t xml:space="preserve">0,60 </w:t>
      </w:r>
    </w:p>
    <w:p w14:paraId="3901111B" w14:textId="415E91F6" w:rsidR="00AF69C8" w:rsidRPr="00AB421C" w:rsidRDefault="00F732FD">
      <w:pPr>
        <w:ind w:left="2880" w:firstLine="806"/>
        <w:rPr>
          <w:lang w:val="en-US"/>
        </w:rPr>
      </w:pPr>
      <w:r w:rsidRPr="00255660">
        <w:rPr>
          <w:rStyle w:val="MerkChar"/>
          <w:lang w:val="en-US"/>
        </w:rPr>
        <w:t>Alto</w:t>
      </w:r>
      <w:r w:rsidRPr="00AB421C">
        <w:rPr>
          <w:rStyle w:val="MerkChar"/>
          <w:color w:val="auto"/>
          <w:lang w:val="en-US"/>
        </w:rPr>
        <w:t>:</w:t>
      </w:r>
      <w:r w:rsidRPr="00AB421C">
        <w:rPr>
          <w:lang w:val="en-US"/>
        </w:rPr>
        <w:t xml:space="preserve"> 0,65</w:t>
      </w:r>
    </w:p>
    <w:p w14:paraId="78FA0AA1" w14:textId="417F44B2" w:rsidR="00AF69C8" w:rsidRPr="00AB421C" w:rsidRDefault="00F732FD">
      <w:pPr>
        <w:ind w:left="2880" w:firstLine="806"/>
        <w:rPr>
          <w:lang w:val="en-US"/>
        </w:rPr>
      </w:pPr>
      <w:r w:rsidRPr="00255660">
        <w:rPr>
          <w:rStyle w:val="MerkChar"/>
          <w:lang w:val="en-US"/>
        </w:rPr>
        <w:t>Largo</w:t>
      </w:r>
      <w:r w:rsidRPr="00AB421C">
        <w:rPr>
          <w:rStyle w:val="MerkChar"/>
          <w:color w:val="auto"/>
          <w:lang w:val="en-US"/>
        </w:rPr>
        <w:t>: 0,67</w:t>
      </w:r>
    </w:p>
    <w:p w14:paraId="2B76A9D1" w14:textId="77777777" w:rsidR="00AF69C8" w:rsidRPr="00AB421C" w:rsidRDefault="00AF69C8">
      <w:pPr>
        <w:rPr>
          <w:lang w:val="en-US"/>
        </w:rPr>
      </w:pPr>
    </w:p>
    <w:p w14:paraId="025D7CFD" w14:textId="44A4A4DE" w:rsidR="00AF69C8" w:rsidRDefault="005404ED" w:rsidP="2CC8BABD">
      <w:pPr>
        <w:ind w:firstLine="720"/>
        <w:rPr>
          <w:rStyle w:val="MerkChar"/>
          <w:color w:val="auto"/>
          <w:lang w:val="en-US"/>
        </w:rPr>
      </w:pPr>
      <w:proofErr w:type="spellStart"/>
      <w:r w:rsidRPr="00216B57">
        <w:rPr>
          <w:rStyle w:val="MerkChar"/>
          <w:lang w:val="en-US"/>
        </w:rPr>
        <w:t>TronicSkyVent</w:t>
      </w:r>
      <w:proofErr w:type="spellEnd"/>
      <w:r w:rsidRPr="00216B57">
        <w:rPr>
          <w:rStyle w:val="MerkChar"/>
          <w:lang w:val="en-US"/>
        </w:rPr>
        <w:t xml:space="preserve"> BE</w:t>
      </w:r>
      <w:r w:rsidRPr="00216B57">
        <w:rPr>
          <w:lang w:val="en-US"/>
        </w:rPr>
        <w:t xml:space="preserve"> </w:t>
      </w:r>
      <w:r w:rsidR="2CC8BABD" w:rsidRPr="005404ED">
        <w:rPr>
          <w:rStyle w:val="MerkChar"/>
          <w:lang w:val="en-US"/>
        </w:rPr>
        <w:t>AK</w:t>
      </w:r>
      <w:r w:rsidR="2CC8BABD" w:rsidRPr="2CC8BABD">
        <w:rPr>
          <w:rStyle w:val="MerkChar"/>
          <w:color w:val="auto"/>
          <w:lang w:val="en-US"/>
        </w:rPr>
        <w:t>:</w:t>
      </w:r>
    </w:p>
    <w:p w14:paraId="5790A304" w14:textId="023A79F6" w:rsidR="00AF69C8" w:rsidRDefault="2CC8BABD" w:rsidP="2CC8BABD">
      <w:pPr>
        <w:ind w:left="2880" w:firstLine="806"/>
        <w:rPr>
          <w:rStyle w:val="MerkChar"/>
          <w:color w:val="auto"/>
          <w:lang w:val="en-US"/>
        </w:rPr>
      </w:pPr>
      <w:r w:rsidRPr="00255660">
        <w:rPr>
          <w:rStyle w:val="MerkChar"/>
          <w:lang w:val="en-US"/>
        </w:rPr>
        <w:t>Medio</w:t>
      </w:r>
      <w:r w:rsidRPr="2CC8BABD">
        <w:rPr>
          <w:rStyle w:val="MerkChar"/>
          <w:color w:val="auto"/>
          <w:lang w:val="en-US"/>
        </w:rPr>
        <w:t xml:space="preserve"> : 0,75 </w:t>
      </w:r>
    </w:p>
    <w:p w14:paraId="62CAB7A1" w14:textId="050441D5" w:rsidR="00AF69C8" w:rsidRDefault="2CC8BABD" w:rsidP="2CC8BABD">
      <w:pPr>
        <w:ind w:left="2880" w:firstLine="806"/>
        <w:rPr>
          <w:rStyle w:val="MerkChar"/>
          <w:color w:val="auto"/>
          <w:lang w:val="en-US"/>
        </w:rPr>
      </w:pPr>
      <w:r w:rsidRPr="00255660">
        <w:rPr>
          <w:rStyle w:val="MerkChar"/>
          <w:lang w:val="en-US"/>
        </w:rPr>
        <w:t>Alto</w:t>
      </w:r>
      <w:r w:rsidRPr="2CC8BABD">
        <w:rPr>
          <w:rStyle w:val="MerkChar"/>
          <w:color w:val="auto"/>
          <w:lang w:val="en-US"/>
        </w:rPr>
        <w:t xml:space="preserve"> : 0,81</w:t>
      </w:r>
    </w:p>
    <w:p w14:paraId="15F390E7" w14:textId="1F21B326" w:rsidR="00AF69C8" w:rsidRPr="00AB421C" w:rsidRDefault="00F732FD">
      <w:pPr>
        <w:ind w:left="2880" w:firstLine="806"/>
        <w:rPr>
          <w:rStyle w:val="MerkChar"/>
          <w:color w:val="auto"/>
          <w:lang w:val="en-US"/>
        </w:rPr>
      </w:pPr>
      <w:r w:rsidRPr="00255660">
        <w:rPr>
          <w:rStyle w:val="MerkChar"/>
          <w:lang w:val="en-US"/>
        </w:rPr>
        <w:t>Largo</w:t>
      </w:r>
      <w:r w:rsidRPr="00AB421C">
        <w:rPr>
          <w:rStyle w:val="MerkChar"/>
          <w:color w:val="auto"/>
          <w:lang w:val="en-US"/>
        </w:rPr>
        <w:t>: 0,83</w:t>
      </w:r>
    </w:p>
    <w:p w14:paraId="3C0AB999" w14:textId="77777777" w:rsidR="00AF69C8" w:rsidRPr="00AB421C" w:rsidRDefault="00AF69C8">
      <w:pPr>
        <w:ind w:left="2880" w:firstLine="806"/>
        <w:rPr>
          <w:rStyle w:val="MerkChar"/>
          <w:color w:val="auto"/>
          <w:lang w:val="en-US"/>
        </w:rPr>
      </w:pPr>
    </w:p>
    <w:p w14:paraId="027EE798" w14:textId="35BD3A5B" w:rsidR="00AF69C8" w:rsidRDefault="005404ED" w:rsidP="2CC8BABD">
      <w:pPr>
        <w:ind w:firstLine="720"/>
        <w:rPr>
          <w:lang w:val="en-US"/>
        </w:rPr>
      </w:pPr>
      <w:proofErr w:type="spellStart"/>
      <w:r w:rsidRPr="00216B57">
        <w:rPr>
          <w:rStyle w:val="MerkChar"/>
          <w:lang w:val="en-US"/>
        </w:rPr>
        <w:t>TronicSkyVent</w:t>
      </w:r>
      <w:proofErr w:type="spellEnd"/>
      <w:r w:rsidRPr="00216B57">
        <w:rPr>
          <w:rStyle w:val="MerkChar"/>
          <w:lang w:val="en-US"/>
        </w:rPr>
        <w:t xml:space="preserve"> BE</w:t>
      </w:r>
      <w:r w:rsidRPr="00216B57">
        <w:rPr>
          <w:lang w:val="en-US"/>
        </w:rPr>
        <w:t xml:space="preserve"> </w:t>
      </w:r>
      <w:r w:rsidR="2CC8BABD" w:rsidRPr="005404ED">
        <w:rPr>
          <w:rStyle w:val="MerkChar"/>
          <w:lang w:val="en-US"/>
        </w:rPr>
        <w:t>AK+</w:t>
      </w:r>
      <w:r w:rsidR="2CC8BABD" w:rsidRPr="2CC8BABD">
        <w:rPr>
          <w:lang w:val="en-US"/>
        </w:rPr>
        <w:t>:</w:t>
      </w:r>
    </w:p>
    <w:p w14:paraId="598770DC" w14:textId="73132C41" w:rsidR="00AF69C8" w:rsidRPr="00AB421C" w:rsidRDefault="00F732FD">
      <w:pPr>
        <w:ind w:left="2880" w:firstLine="806"/>
        <w:rPr>
          <w:rStyle w:val="MerkChar"/>
          <w:color w:val="auto"/>
          <w:lang w:val="fr-FR"/>
        </w:rPr>
      </w:pPr>
      <w:r w:rsidRPr="00216B57">
        <w:rPr>
          <w:rStyle w:val="MerkChar"/>
          <w:lang w:val="fr-FR"/>
        </w:rPr>
        <w:t>Alto</w:t>
      </w:r>
      <w:r w:rsidRPr="00AB421C">
        <w:rPr>
          <w:rStyle w:val="MerkChar"/>
          <w:color w:val="auto"/>
          <w:lang w:val="fr-FR"/>
        </w:rPr>
        <w:t>: 0,85</w:t>
      </w:r>
    </w:p>
    <w:p w14:paraId="3C017C12" w14:textId="0E4E659E" w:rsidR="00AF69C8" w:rsidRPr="00AB421C" w:rsidRDefault="00F732FD">
      <w:pPr>
        <w:ind w:left="2880" w:firstLine="806"/>
        <w:rPr>
          <w:rStyle w:val="MerkChar"/>
          <w:color w:val="auto"/>
          <w:lang w:val="fr-FR"/>
        </w:rPr>
      </w:pPr>
      <w:r w:rsidRPr="00216B57">
        <w:rPr>
          <w:rStyle w:val="MerkChar"/>
          <w:lang w:val="fr-FR"/>
        </w:rPr>
        <w:t>Largo</w:t>
      </w:r>
      <w:r w:rsidRPr="00AB421C">
        <w:rPr>
          <w:rStyle w:val="MerkChar"/>
          <w:color w:val="auto"/>
          <w:lang w:val="fr-FR"/>
        </w:rPr>
        <w:t>: 0,87</w:t>
      </w:r>
    </w:p>
    <w:p w14:paraId="2DB44C02" w14:textId="77777777" w:rsidR="00AF69C8" w:rsidRPr="00AB421C" w:rsidRDefault="00AF69C8">
      <w:pPr>
        <w:rPr>
          <w:lang w:val="fr-FR"/>
        </w:rPr>
      </w:pPr>
    </w:p>
    <w:p w14:paraId="7C01232B" w14:textId="77777777" w:rsidR="00AF69C8" w:rsidRPr="00AB421C" w:rsidRDefault="2CC8BABD">
      <w:pPr>
        <w:tabs>
          <w:tab w:val="left" w:pos="3686"/>
        </w:tabs>
        <w:rPr>
          <w:lang w:val="fr-FR"/>
        </w:rPr>
      </w:pPr>
      <w:r w:rsidRPr="00AB421C">
        <w:rPr>
          <w:lang w:val="fr-FR"/>
        </w:rPr>
        <w:t>Classe d'étanchéité à l'air en position fermée :</w:t>
      </w:r>
      <w:r w:rsidR="00F732FD" w:rsidRPr="00AB421C">
        <w:rPr>
          <w:lang w:val="fr-FR"/>
        </w:rPr>
        <w:tab/>
      </w:r>
      <w:r w:rsidRPr="00AB421C">
        <w:rPr>
          <w:lang w:val="fr-FR"/>
        </w:rPr>
        <w:t>4 (EN 12207)</w:t>
      </w:r>
    </w:p>
    <w:p w14:paraId="52AF2E4B" w14:textId="77777777" w:rsidR="00AF69C8" w:rsidRPr="00AB421C" w:rsidRDefault="00AF69C8">
      <w:pPr>
        <w:rPr>
          <w:highlight w:val="yellow"/>
          <w:lang w:val="fr-FR"/>
        </w:rPr>
      </w:pPr>
    </w:p>
    <w:p w14:paraId="258FCEE3" w14:textId="77777777" w:rsidR="00AF69C8" w:rsidRPr="00AB421C" w:rsidRDefault="2CC8BABD">
      <w:pPr>
        <w:tabs>
          <w:tab w:val="left" w:pos="3686"/>
        </w:tabs>
        <w:rPr>
          <w:lang w:val="fr-FR"/>
        </w:rPr>
      </w:pPr>
      <w:r w:rsidRPr="00AB421C">
        <w:rPr>
          <w:lang w:val="fr-FR"/>
        </w:rPr>
        <w:t>Débit de fuite à 50 Pa (Q1c,50Pa) :</w:t>
      </w:r>
      <w:r w:rsidR="00F732FD" w:rsidRPr="00AB421C">
        <w:rPr>
          <w:lang w:val="fr-FR"/>
        </w:rPr>
        <w:tab/>
      </w:r>
      <w:r w:rsidRPr="00AB421C">
        <w:rPr>
          <w:lang w:val="fr-FR"/>
        </w:rPr>
        <w:t>0,173 m³/h par mètre courant</w:t>
      </w:r>
    </w:p>
    <w:p w14:paraId="19009390" w14:textId="77777777" w:rsidR="00AF69C8" w:rsidRPr="00AB421C" w:rsidRDefault="00F732FD">
      <w:pPr>
        <w:tabs>
          <w:tab w:val="left" w:pos="3686"/>
        </w:tabs>
        <w:rPr>
          <w:lang w:val="fr-FR"/>
        </w:rPr>
      </w:pPr>
      <w:r w:rsidRPr="00AB421C">
        <w:rPr>
          <w:lang w:val="fr-FR"/>
        </w:rPr>
        <w:tab/>
      </w:r>
      <w:r w:rsidR="2CC8BABD" w:rsidRPr="00AB421C">
        <w:rPr>
          <w:lang w:val="fr-FR"/>
        </w:rPr>
        <w:t>&lt; 15 % en position fermée</w:t>
      </w:r>
    </w:p>
    <w:p w14:paraId="4629BE86" w14:textId="77777777" w:rsidR="00AF69C8" w:rsidRPr="00AB421C" w:rsidRDefault="00AF69C8">
      <w:pPr>
        <w:rPr>
          <w:lang w:val="fr-FR"/>
        </w:rPr>
      </w:pPr>
    </w:p>
    <w:p w14:paraId="4A7EF1E5" w14:textId="77777777" w:rsidR="00AF69C8" w:rsidRPr="00AB421C" w:rsidRDefault="2CC8BABD" w:rsidP="2CC8BABD">
      <w:pPr>
        <w:rPr>
          <w:lang w:val="fr-FR"/>
        </w:rPr>
      </w:pPr>
      <w:r w:rsidRPr="00AB421C">
        <w:rPr>
          <w:lang w:val="fr-FR"/>
        </w:rPr>
        <w:t>Etanchéité à l'eau</w:t>
      </w:r>
    </w:p>
    <w:p w14:paraId="0312C885" w14:textId="77777777" w:rsidR="00AF69C8" w:rsidRPr="00AB421C" w:rsidRDefault="2CC8BABD">
      <w:pPr>
        <w:tabs>
          <w:tab w:val="left" w:pos="3686"/>
        </w:tabs>
        <w:rPr>
          <w:lang w:val="fr-FR"/>
        </w:rPr>
      </w:pPr>
      <w:r w:rsidRPr="00AB421C">
        <w:rPr>
          <w:lang w:val="fr-FR"/>
        </w:rPr>
        <w:t>en position fermée :</w:t>
      </w:r>
      <w:r w:rsidR="00F732FD" w:rsidRPr="00AB421C">
        <w:rPr>
          <w:lang w:val="fr-FR"/>
        </w:rPr>
        <w:tab/>
      </w:r>
      <w:r w:rsidRPr="00AB421C">
        <w:rPr>
          <w:lang w:val="fr-FR"/>
        </w:rPr>
        <w:t>1350 Pa ou E1350 (EN 12208).</w:t>
      </w:r>
    </w:p>
    <w:p w14:paraId="02A34021" w14:textId="77777777" w:rsidR="00AF69C8" w:rsidRPr="00AB421C" w:rsidRDefault="00AF69C8">
      <w:pPr>
        <w:rPr>
          <w:lang w:val="fr-FR"/>
        </w:rPr>
      </w:pPr>
    </w:p>
    <w:p w14:paraId="4BDFF31A" w14:textId="77777777" w:rsidR="00AF69C8" w:rsidRPr="00AB421C" w:rsidRDefault="2CC8BABD">
      <w:pPr>
        <w:tabs>
          <w:tab w:val="left" w:pos="3686"/>
        </w:tabs>
        <w:rPr>
          <w:lang w:val="fr-FR"/>
        </w:rPr>
      </w:pPr>
      <w:r w:rsidRPr="00AB421C">
        <w:rPr>
          <w:lang w:val="fr-FR"/>
        </w:rPr>
        <w:t>Étanche à 20 Pa en position ouverte :</w:t>
      </w:r>
      <w:r w:rsidR="00F732FD" w:rsidRPr="00AB421C">
        <w:rPr>
          <w:lang w:val="fr-FR"/>
        </w:rPr>
        <w:tab/>
      </w:r>
      <w:r w:rsidRPr="00AB421C">
        <w:rPr>
          <w:lang w:val="fr-FR"/>
        </w:rPr>
        <w:t>Oui</w:t>
      </w:r>
    </w:p>
    <w:p w14:paraId="697E175C" w14:textId="77777777" w:rsidR="00AF69C8" w:rsidRPr="00AB421C" w:rsidRDefault="00F732FD">
      <w:pPr>
        <w:tabs>
          <w:tab w:val="left" w:pos="3686"/>
        </w:tabs>
        <w:rPr>
          <w:lang w:val="fr-FR"/>
        </w:rPr>
      </w:pPr>
      <w:r w:rsidRPr="00AB421C">
        <w:rPr>
          <w:lang w:val="fr-FR"/>
        </w:rPr>
        <w:tab/>
      </w:r>
      <w:r w:rsidR="2CC8BABD" w:rsidRPr="00AB421C">
        <w:rPr>
          <w:lang w:val="fr-FR"/>
        </w:rPr>
        <w:t>Répond aux exigences PEB</w:t>
      </w:r>
    </w:p>
    <w:p w14:paraId="255324B3" w14:textId="77777777" w:rsidR="00AF69C8" w:rsidRPr="00AB421C" w:rsidRDefault="00AF69C8">
      <w:pPr>
        <w:rPr>
          <w:lang w:val="fr-FR"/>
        </w:rPr>
      </w:pPr>
    </w:p>
    <w:p w14:paraId="01B3BFAC" w14:textId="77777777" w:rsidR="00AF69C8" w:rsidRPr="00AB421C" w:rsidRDefault="2CC8BABD">
      <w:pPr>
        <w:tabs>
          <w:tab w:val="left" w:pos="3686"/>
        </w:tabs>
        <w:rPr>
          <w:lang w:val="fr-FR"/>
        </w:rPr>
      </w:pPr>
      <w:r w:rsidRPr="00AB421C">
        <w:rPr>
          <w:lang w:val="fr-FR"/>
        </w:rPr>
        <w:t>Pont thermique :</w:t>
      </w:r>
      <w:r w:rsidR="00F732FD" w:rsidRPr="00AB421C">
        <w:rPr>
          <w:lang w:val="fr-FR"/>
        </w:rPr>
        <w:tab/>
      </w:r>
      <w:r w:rsidRPr="00AB421C">
        <w:rPr>
          <w:lang w:val="fr-FR"/>
        </w:rPr>
        <w:t>Oui</w:t>
      </w:r>
    </w:p>
    <w:p w14:paraId="67CCD863" w14:textId="77777777" w:rsidR="00AF69C8" w:rsidRPr="00AB421C" w:rsidRDefault="00AF69C8">
      <w:pPr>
        <w:rPr>
          <w:lang w:val="fr-FR"/>
        </w:rPr>
      </w:pPr>
    </w:p>
    <w:p w14:paraId="389642EE" w14:textId="77777777" w:rsidR="00AF69C8" w:rsidRPr="00AB421C" w:rsidRDefault="2CC8BABD">
      <w:pPr>
        <w:tabs>
          <w:tab w:val="left" w:pos="3686"/>
        </w:tabs>
        <w:rPr>
          <w:lang w:val="fr-FR"/>
        </w:rPr>
      </w:pPr>
      <w:r w:rsidRPr="00AB421C">
        <w:rPr>
          <w:lang w:val="fr-FR"/>
        </w:rPr>
        <w:t>Déduction hauteur de vitrage</w:t>
      </w:r>
      <w:r w:rsidR="00F732FD" w:rsidRPr="00AB421C">
        <w:rPr>
          <w:lang w:val="fr-FR"/>
        </w:rPr>
        <w:tab/>
      </w:r>
      <w:r w:rsidRPr="00AB421C">
        <w:rPr>
          <w:lang w:val="fr-FR"/>
        </w:rPr>
        <w:t>0 mm</w:t>
      </w:r>
    </w:p>
    <w:p w14:paraId="779283B1" w14:textId="77777777" w:rsidR="00AF69C8" w:rsidRPr="00AB421C" w:rsidRDefault="00AF69C8">
      <w:pPr>
        <w:tabs>
          <w:tab w:val="left" w:pos="3686"/>
        </w:tabs>
        <w:rPr>
          <w:lang w:val="fr-FR"/>
        </w:rPr>
      </w:pPr>
    </w:p>
    <w:p w14:paraId="4FCE0AFE" w14:textId="164AC09B" w:rsidR="00AF69C8" w:rsidRPr="00AB421C" w:rsidRDefault="2CC8BABD">
      <w:pPr>
        <w:tabs>
          <w:tab w:val="left" w:pos="3686"/>
        </w:tabs>
        <w:rPr>
          <w:lang w:val="fr-FR"/>
        </w:rPr>
      </w:pPr>
      <w:r w:rsidRPr="00AB421C">
        <w:rPr>
          <w:lang w:val="fr-FR"/>
        </w:rPr>
        <w:t>Hauteur de l'aérateur :</w:t>
      </w:r>
      <w:r w:rsidR="00F732FD" w:rsidRPr="00AB421C">
        <w:rPr>
          <w:lang w:val="fr-FR"/>
        </w:rPr>
        <w:tab/>
      </w:r>
      <w:r w:rsidRPr="00AB421C">
        <w:rPr>
          <w:lang w:val="fr-FR"/>
        </w:rPr>
        <w:t>65 mm</w:t>
      </w:r>
    </w:p>
    <w:p w14:paraId="2E889867" w14:textId="05CB44E8" w:rsidR="00AF69C8" w:rsidRPr="00AB421C" w:rsidRDefault="00AF69C8">
      <w:pPr>
        <w:tabs>
          <w:tab w:val="left" w:pos="3686"/>
        </w:tabs>
        <w:rPr>
          <w:lang w:val="fr-FR"/>
        </w:rPr>
      </w:pPr>
    </w:p>
    <w:p w14:paraId="494B70FF" w14:textId="45226CEF" w:rsidR="00AF69C8" w:rsidRPr="00AB421C" w:rsidRDefault="2CC8BABD">
      <w:pPr>
        <w:tabs>
          <w:tab w:val="left" w:pos="3686"/>
        </w:tabs>
        <w:rPr>
          <w:lang w:val="fr-FR"/>
        </w:rPr>
      </w:pPr>
      <w:r w:rsidRPr="00AB421C">
        <w:rPr>
          <w:lang w:val="fr-FR"/>
        </w:rPr>
        <w:t xml:space="preserve">Hauteur d'encastrement : </w:t>
      </w:r>
      <w:r w:rsidR="00F732FD" w:rsidRPr="00AB421C">
        <w:rPr>
          <w:lang w:val="fr-FR"/>
        </w:rPr>
        <w:tab/>
      </w:r>
      <w:r w:rsidRPr="00AB421C">
        <w:rPr>
          <w:lang w:val="fr-FR"/>
        </w:rPr>
        <w:t>70 mm</w:t>
      </w:r>
    </w:p>
    <w:p w14:paraId="6E3ACEB6" w14:textId="77777777" w:rsidR="00AF69C8" w:rsidRPr="00AB421C" w:rsidRDefault="00AF69C8">
      <w:pPr>
        <w:tabs>
          <w:tab w:val="left" w:pos="3686"/>
        </w:tabs>
        <w:rPr>
          <w:lang w:val="fr-FR"/>
        </w:rPr>
      </w:pPr>
    </w:p>
    <w:p w14:paraId="6119016B" w14:textId="383EA161" w:rsidR="00AF69C8" w:rsidRPr="00AB421C" w:rsidRDefault="2CC8BABD">
      <w:pPr>
        <w:tabs>
          <w:tab w:val="left" w:pos="3686"/>
        </w:tabs>
        <w:rPr>
          <w:lang w:val="fr-FR"/>
        </w:rPr>
      </w:pPr>
      <w:r w:rsidRPr="00AB421C">
        <w:rPr>
          <w:lang w:val="fr-FR"/>
        </w:rPr>
        <w:t xml:space="preserve">Ouverture extérieure visible : </w:t>
      </w:r>
      <w:r w:rsidR="00F732FD" w:rsidRPr="00AB421C">
        <w:rPr>
          <w:lang w:val="fr-FR"/>
        </w:rPr>
        <w:tab/>
      </w:r>
      <w:r w:rsidRPr="00AB421C">
        <w:rPr>
          <w:lang w:val="fr-FR"/>
        </w:rPr>
        <w:t>19 mm</w:t>
      </w:r>
    </w:p>
    <w:p w14:paraId="175855E4" w14:textId="77777777" w:rsidR="00AF69C8" w:rsidRPr="00AB421C" w:rsidRDefault="00AF69C8">
      <w:pPr>
        <w:tabs>
          <w:tab w:val="left" w:pos="3686"/>
        </w:tabs>
        <w:rPr>
          <w:lang w:val="fr-FR"/>
        </w:rPr>
      </w:pPr>
    </w:p>
    <w:p w14:paraId="675C565E" w14:textId="77777777" w:rsidR="00AF69C8" w:rsidRPr="00AB421C" w:rsidRDefault="2CC8BABD" w:rsidP="2CC8BABD">
      <w:pPr>
        <w:pStyle w:val="P68B1DB1-Standaard6"/>
        <w:tabs>
          <w:tab w:val="left" w:pos="3686"/>
        </w:tabs>
        <w:rPr>
          <w:lang w:val="fr-FR"/>
        </w:rPr>
      </w:pPr>
      <w:r w:rsidRPr="00AB421C">
        <w:rPr>
          <w:lang w:val="fr-FR"/>
        </w:rPr>
        <w:t>Surface :</w:t>
      </w:r>
      <w:r w:rsidR="00F732FD" w:rsidRPr="00AB421C">
        <w:rPr>
          <w:lang w:val="fr-FR"/>
        </w:rPr>
        <w:tab/>
      </w:r>
      <w:r w:rsidRPr="00AB421C">
        <w:rPr>
          <w:lang w:val="fr-FR"/>
        </w:rPr>
        <w:t>0,065 m²/m</w:t>
      </w:r>
    </w:p>
    <w:p w14:paraId="5C6A49C9" w14:textId="77777777" w:rsidR="00AF69C8" w:rsidRPr="00AB421C" w:rsidRDefault="00AF69C8">
      <w:pPr>
        <w:tabs>
          <w:tab w:val="left" w:pos="3686"/>
        </w:tabs>
        <w:rPr>
          <w:lang w:val="fr-FR"/>
        </w:rPr>
      </w:pPr>
    </w:p>
    <w:p w14:paraId="749D8499" w14:textId="77777777" w:rsidR="00AF69C8" w:rsidRPr="00AB421C" w:rsidRDefault="2CC8BABD" w:rsidP="2CC8BABD">
      <w:pPr>
        <w:tabs>
          <w:tab w:val="left" w:pos="3686"/>
        </w:tabs>
        <w:rPr>
          <w:lang w:val="fr-FR"/>
        </w:rPr>
      </w:pPr>
      <w:r w:rsidRPr="00AB421C">
        <w:rPr>
          <w:lang w:val="fr-FR"/>
        </w:rPr>
        <w:t xml:space="preserve">Commande : </w:t>
      </w:r>
      <w:r w:rsidR="00F732FD" w:rsidRPr="00AB421C">
        <w:rPr>
          <w:lang w:val="fr-FR"/>
        </w:rPr>
        <w:tab/>
      </w:r>
      <w:r w:rsidRPr="00AB421C">
        <w:rPr>
          <w:lang w:val="fr-FR"/>
        </w:rPr>
        <w:t>À distance via le capteur</w:t>
      </w:r>
    </w:p>
    <w:p w14:paraId="59F4E6F4" w14:textId="77777777" w:rsidR="00AF69C8" w:rsidRPr="00AB421C" w:rsidRDefault="00AF69C8">
      <w:pPr>
        <w:tabs>
          <w:tab w:val="left" w:pos="3686"/>
        </w:tabs>
        <w:rPr>
          <w:lang w:val="fr-FR"/>
        </w:rPr>
      </w:pPr>
    </w:p>
    <w:p w14:paraId="234D04C5" w14:textId="77777777" w:rsidR="00AF69C8" w:rsidRPr="00AB421C" w:rsidRDefault="2CC8BABD" w:rsidP="2CC8BABD">
      <w:pPr>
        <w:tabs>
          <w:tab w:val="left" w:pos="3686"/>
        </w:tabs>
        <w:rPr>
          <w:lang w:val="fr-FR"/>
        </w:rPr>
      </w:pPr>
      <w:r w:rsidRPr="00AB421C">
        <w:rPr>
          <w:lang w:val="fr-FR"/>
        </w:rPr>
        <w:t>Positions :</w:t>
      </w:r>
      <w:r w:rsidR="00F732FD" w:rsidRPr="00AB421C">
        <w:rPr>
          <w:lang w:val="fr-FR"/>
        </w:rPr>
        <w:tab/>
      </w:r>
      <w:r w:rsidRPr="00AB421C">
        <w:rPr>
          <w:lang w:val="fr-FR"/>
        </w:rPr>
        <w:t>En continu : entièrement fermé, ouvert à 50 %, entièrement ouvert ou automatique</w:t>
      </w:r>
    </w:p>
    <w:p w14:paraId="5CBCC325" w14:textId="77777777" w:rsidR="00AF69C8" w:rsidRPr="00AB421C" w:rsidRDefault="00AF69C8">
      <w:pPr>
        <w:tabs>
          <w:tab w:val="left" w:pos="3686"/>
        </w:tabs>
        <w:rPr>
          <w:lang w:val="fr-FR"/>
        </w:rPr>
      </w:pPr>
    </w:p>
    <w:p w14:paraId="50974A84" w14:textId="77777777" w:rsidR="00AF69C8" w:rsidRPr="00AB421C" w:rsidRDefault="2CC8BABD" w:rsidP="2CC8BABD">
      <w:pPr>
        <w:tabs>
          <w:tab w:val="left" w:pos="3686"/>
        </w:tabs>
        <w:rPr>
          <w:lang w:val="fr-FR"/>
        </w:rPr>
      </w:pPr>
      <w:r w:rsidRPr="00AB421C">
        <w:rPr>
          <w:lang w:val="fr-FR"/>
        </w:rPr>
        <w:t>Réglages :</w:t>
      </w:r>
      <w:r w:rsidR="00F732FD" w:rsidRPr="00AB421C">
        <w:rPr>
          <w:lang w:val="fr-FR"/>
        </w:rPr>
        <w:tab/>
      </w:r>
      <w:r w:rsidRPr="00AB421C">
        <w:rPr>
          <w:lang w:val="fr-FR"/>
        </w:rPr>
        <w:t>Servomoteur, 24 VCC, courant continu</w:t>
      </w:r>
    </w:p>
    <w:p w14:paraId="57128F41" w14:textId="77777777" w:rsidR="00AF69C8" w:rsidRPr="00AB421C" w:rsidRDefault="00F732FD">
      <w:pPr>
        <w:tabs>
          <w:tab w:val="left" w:pos="3686"/>
        </w:tabs>
        <w:rPr>
          <w:lang w:val="fr-FR"/>
        </w:rPr>
      </w:pPr>
      <w:r w:rsidRPr="00AB421C">
        <w:rPr>
          <w:lang w:val="fr-FR"/>
        </w:rPr>
        <w:tab/>
      </w:r>
      <w:r w:rsidR="2CC8BABD" w:rsidRPr="00AB421C">
        <w:rPr>
          <w:lang w:val="fr-FR"/>
        </w:rPr>
        <w:t>Unité de contrôle filaire (</w:t>
      </w:r>
      <w:proofErr w:type="spellStart"/>
      <w:r w:rsidR="2CC8BABD" w:rsidRPr="00AB421C">
        <w:rPr>
          <w:lang w:val="fr-FR"/>
        </w:rPr>
        <w:t>Wired</w:t>
      </w:r>
      <w:proofErr w:type="spellEnd"/>
      <w:r w:rsidR="2CC8BABD" w:rsidRPr="00AB421C">
        <w:rPr>
          <w:lang w:val="fr-FR"/>
        </w:rPr>
        <w:t xml:space="preserve">) </w:t>
      </w:r>
    </w:p>
    <w:p w14:paraId="7E0EA0A1" w14:textId="77777777" w:rsidR="00AF69C8" w:rsidRPr="00AB421C" w:rsidRDefault="00AF69C8">
      <w:pPr>
        <w:tabs>
          <w:tab w:val="left" w:pos="3686"/>
        </w:tabs>
        <w:rPr>
          <w:lang w:val="fr-FR"/>
        </w:rPr>
      </w:pPr>
    </w:p>
    <w:p w14:paraId="12352F89" w14:textId="3C0D1E72" w:rsidR="00AF69C8" w:rsidRPr="00AB421C" w:rsidRDefault="2CC8BABD" w:rsidP="2CC8BABD">
      <w:pPr>
        <w:tabs>
          <w:tab w:val="left" w:pos="3686"/>
        </w:tabs>
        <w:rPr>
          <w:lang w:val="fr-FR"/>
        </w:rPr>
      </w:pPr>
      <w:r w:rsidRPr="00AB421C">
        <w:rPr>
          <w:lang w:val="fr-FR"/>
        </w:rPr>
        <w:t>Commande :</w:t>
      </w:r>
      <w:r w:rsidR="00F732FD" w:rsidRPr="00AB421C">
        <w:rPr>
          <w:lang w:val="fr-FR"/>
        </w:rPr>
        <w:tab/>
      </w:r>
      <w:r w:rsidRPr="00AB421C">
        <w:rPr>
          <w:lang w:val="fr-FR"/>
        </w:rPr>
        <w:t>100 % automatique en fonction du</w:t>
      </w:r>
      <w:r w:rsidR="00CC1470">
        <w:rPr>
          <w:lang w:val="fr-FR"/>
        </w:rPr>
        <w:t xml:space="preserve"> </w:t>
      </w:r>
      <w:r w:rsidRPr="00AB421C">
        <w:rPr>
          <w:lang w:val="fr-FR"/>
        </w:rPr>
        <w:t>CO</w:t>
      </w:r>
      <w:r w:rsidRPr="00AB421C">
        <w:rPr>
          <w:vertAlign w:val="subscript"/>
          <w:lang w:val="fr-FR"/>
        </w:rPr>
        <w:t>2</w:t>
      </w:r>
      <w:r w:rsidRPr="00AB421C">
        <w:rPr>
          <w:lang w:val="fr-FR"/>
        </w:rPr>
        <w:t>, de l'humidité et de la température</w:t>
      </w:r>
    </w:p>
    <w:p w14:paraId="1D6D55BE" w14:textId="77777777" w:rsidR="00AF69C8" w:rsidRPr="00AB421C" w:rsidRDefault="00AF69C8">
      <w:pPr>
        <w:tabs>
          <w:tab w:val="left" w:pos="3686"/>
        </w:tabs>
        <w:rPr>
          <w:lang w:val="fr-FR"/>
        </w:rPr>
      </w:pPr>
    </w:p>
    <w:p w14:paraId="067F0BA1" w14:textId="77777777" w:rsidR="00AF69C8" w:rsidRPr="00AB421C" w:rsidRDefault="2CC8BABD">
      <w:pPr>
        <w:tabs>
          <w:tab w:val="left" w:pos="3686"/>
        </w:tabs>
        <w:rPr>
          <w:lang w:val="fr-FR"/>
        </w:rPr>
      </w:pPr>
      <w:r w:rsidRPr="00AB421C">
        <w:rPr>
          <w:lang w:val="fr-FR"/>
        </w:rPr>
        <w:t xml:space="preserve">Dimension hors tout : </w:t>
      </w:r>
      <w:r w:rsidR="00F732FD" w:rsidRPr="00AB421C">
        <w:rPr>
          <w:lang w:val="fr-FR"/>
        </w:rPr>
        <w:tab/>
      </w:r>
      <w:r w:rsidRPr="00AB421C">
        <w:rPr>
          <w:lang w:val="fr-FR"/>
        </w:rPr>
        <w:t>… mm</w:t>
      </w:r>
    </w:p>
    <w:p w14:paraId="52EDDC67" w14:textId="77777777" w:rsidR="00AF69C8" w:rsidRPr="00AB421C" w:rsidRDefault="00AF69C8">
      <w:pPr>
        <w:tabs>
          <w:tab w:val="left" w:pos="3686"/>
        </w:tabs>
        <w:rPr>
          <w:lang w:val="fr-FR"/>
        </w:rPr>
      </w:pPr>
    </w:p>
    <w:p w14:paraId="0A2D4F1C" w14:textId="77777777" w:rsidR="00AF69C8" w:rsidRPr="00AB421C" w:rsidRDefault="2CC8BABD">
      <w:pPr>
        <w:tabs>
          <w:tab w:val="left" w:pos="3686"/>
        </w:tabs>
        <w:rPr>
          <w:lang w:val="fr-FR"/>
        </w:rPr>
      </w:pPr>
      <w:r w:rsidRPr="00AB421C">
        <w:rPr>
          <w:lang w:val="fr-FR"/>
        </w:rPr>
        <w:t>Longueur de clapet actionnable max. :</w:t>
      </w:r>
      <w:r w:rsidR="00F732FD" w:rsidRPr="00AB421C">
        <w:rPr>
          <w:lang w:val="fr-FR"/>
        </w:rPr>
        <w:tab/>
      </w:r>
      <w:r w:rsidRPr="00AB421C">
        <w:rPr>
          <w:lang w:val="fr-FR"/>
        </w:rPr>
        <w:t>2.610 mm</w:t>
      </w:r>
    </w:p>
    <w:p w14:paraId="0740AA09" w14:textId="77777777" w:rsidR="00AF69C8" w:rsidRPr="00AB421C" w:rsidRDefault="00AF69C8">
      <w:pPr>
        <w:tabs>
          <w:tab w:val="left" w:pos="3686"/>
        </w:tabs>
        <w:rPr>
          <w:lang w:val="fr-FR"/>
        </w:rPr>
      </w:pPr>
    </w:p>
    <w:p w14:paraId="56C7CBF9" w14:textId="77777777" w:rsidR="00AF69C8" w:rsidRPr="00AB421C" w:rsidRDefault="2CC8BABD">
      <w:pPr>
        <w:tabs>
          <w:tab w:val="left" w:pos="3686"/>
        </w:tabs>
        <w:rPr>
          <w:lang w:val="fr-FR"/>
        </w:rPr>
      </w:pPr>
      <w:r w:rsidRPr="00AB421C">
        <w:rPr>
          <w:lang w:val="fr-FR"/>
        </w:rPr>
        <w:t>Dimension hors tout maximale sous garantie :</w:t>
      </w:r>
      <w:r w:rsidR="00F732FD" w:rsidRPr="00AB421C">
        <w:rPr>
          <w:lang w:val="fr-FR"/>
        </w:rPr>
        <w:tab/>
      </w:r>
      <w:r w:rsidRPr="00AB421C">
        <w:rPr>
          <w:lang w:val="fr-FR"/>
        </w:rPr>
        <w:t>4.000 mm</w:t>
      </w:r>
    </w:p>
    <w:p w14:paraId="49E8EBD8" w14:textId="77777777" w:rsidR="00AF69C8" w:rsidRPr="00AB421C" w:rsidRDefault="2CC8BABD">
      <w:pPr>
        <w:pStyle w:val="Nota"/>
        <w:ind w:left="3686"/>
        <w:rPr>
          <w:lang w:val="fr-FR"/>
        </w:rPr>
      </w:pPr>
      <w:r w:rsidRPr="00AB421C">
        <w:rPr>
          <w:lang w:val="fr-FR"/>
        </w:rPr>
        <w:t>Pour un aérateur d'une longueur &gt; 2 710 mm, une longueur utile maximale du clapet de 2 610 mm est prévue ; le reste du clapet est verrouillé en position fermée.</w:t>
      </w:r>
    </w:p>
    <w:p w14:paraId="07AC95E3" w14:textId="77777777" w:rsidR="00AF69C8" w:rsidRPr="00AB421C" w:rsidRDefault="00AF69C8">
      <w:pPr>
        <w:pStyle w:val="Nota"/>
        <w:jc w:val="left"/>
        <w:rPr>
          <w:i w:val="0"/>
          <w:color w:val="auto"/>
          <w:lang w:val="fr-FR"/>
        </w:rPr>
      </w:pPr>
    </w:p>
    <w:p w14:paraId="1CE03A8D" w14:textId="22943FFF" w:rsidR="00AF69C8" w:rsidRPr="00AB421C" w:rsidRDefault="2CC8BABD" w:rsidP="2CC8BABD">
      <w:pPr>
        <w:pStyle w:val="P68B1DB1-Nota7"/>
        <w:tabs>
          <w:tab w:val="left" w:pos="3686"/>
        </w:tabs>
        <w:jc w:val="left"/>
        <w:rPr>
          <w:lang w:val="fr-FR"/>
        </w:rPr>
      </w:pPr>
      <w:r w:rsidRPr="00AB421C">
        <w:rPr>
          <w:lang w:val="fr-FR"/>
        </w:rPr>
        <w:t>Profilé de finition intérieur en option :</w:t>
      </w:r>
      <w:r w:rsidR="00F732FD" w:rsidRPr="00AB421C">
        <w:rPr>
          <w:lang w:val="fr-FR"/>
        </w:rPr>
        <w:tab/>
      </w:r>
      <w:r w:rsidRPr="00AB421C">
        <w:rPr>
          <w:lang w:val="fr-FR"/>
        </w:rPr>
        <w:t>21 x 10 x 9 mm</w:t>
      </w:r>
      <w:r w:rsidR="00F732FD" w:rsidRPr="00AB421C">
        <w:rPr>
          <w:lang w:val="fr-FR"/>
        </w:rPr>
        <w:br/>
      </w:r>
    </w:p>
    <w:p w14:paraId="3ECFD13B" w14:textId="77777777" w:rsidR="00AF69C8" w:rsidRPr="00AB421C" w:rsidRDefault="2CC8BABD" w:rsidP="2CC8BABD">
      <w:pPr>
        <w:pStyle w:val="P68B1DB1-Nota7"/>
        <w:tabs>
          <w:tab w:val="left" w:pos="3686"/>
        </w:tabs>
        <w:rPr>
          <w:lang w:val="fr-FR"/>
        </w:rPr>
      </w:pPr>
      <w:r w:rsidRPr="00AB421C">
        <w:rPr>
          <w:lang w:val="fr-FR"/>
        </w:rPr>
        <w:t>Insectifuge :</w:t>
      </w:r>
      <w:r w:rsidR="00F732FD" w:rsidRPr="00AB421C">
        <w:rPr>
          <w:lang w:val="fr-FR"/>
        </w:rPr>
        <w:tab/>
      </w:r>
      <w:r w:rsidRPr="00AB421C">
        <w:rPr>
          <w:lang w:val="fr-FR"/>
        </w:rPr>
        <w:t>Oui</w:t>
      </w:r>
    </w:p>
    <w:p w14:paraId="459A997A" w14:textId="77777777" w:rsidR="00AF69C8" w:rsidRPr="00AB421C" w:rsidRDefault="00AF69C8">
      <w:pPr>
        <w:pStyle w:val="Nota"/>
        <w:rPr>
          <w:i w:val="0"/>
          <w:color w:val="auto"/>
          <w:lang w:val="fr-FR"/>
        </w:rPr>
      </w:pPr>
    </w:p>
    <w:p w14:paraId="56FEBD61" w14:textId="77777777" w:rsidR="00AF69C8" w:rsidRPr="00AB421C" w:rsidRDefault="2CC8BABD">
      <w:pPr>
        <w:tabs>
          <w:tab w:val="left" w:pos="3686"/>
        </w:tabs>
        <w:rPr>
          <w:lang w:val="fr-FR"/>
        </w:rPr>
      </w:pPr>
      <w:r w:rsidRPr="00AB421C">
        <w:rPr>
          <w:lang w:val="fr-FR"/>
        </w:rPr>
        <w:t>Profondeur d'encastrement hors tout :</w:t>
      </w:r>
      <w:r w:rsidR="00F732FD" w:rsidRPr="00AB421C">
        <w:rPr>
          <w:lang w:val="fr-FR"/>
        </w:rPr>
        <w:tab/>
      </w:r>
      <w:r w:rsidRPr="00255660">
        <w:rPr>
          <w:rStyle w:val="MerkChar"/>
          <w:lang w:val="fr-FR"/>
        </w:rPr>
        <w:t>Medio</w:t>
      </w:r>
      <w:r w:rsidRPr="00AB421C">
        <w:rPr>
          <w:lang w:val="fr-FR"/>
        </w:rPr>
        <w:t xml:space="preserve"> : 155 mm</w:t>
      </w:r>
    </w:p>
    <w:p w14:paraId="05B406D6" w14:textId="77777777" w:rsidR="00AF69C8" w:rsidRPr="00AB421C" w:rsidRDefault="00F732FD">
      <w:pPr>
        <w:tabs>
          <w:tab w:val="left" w:pos="3686"/>
        </w:tabs>
        <w:ind w:firstLine="720"/>
        <w:rPr>
          <w:lang w:val="fr-FR"/>
        </w:rPr>
      </w:pPr>
      <w:r w:rsidRPr="00AB421C">
        <w:rPr>
          <w:lang w:val="fr-FR"/>
        </w:rPr>
        <w:tab/>
      </w:r>
      <w:r w:rsidR="2CC8BABD" w:rsidRPr="00255660">
        <w:rPr>
          <w:rStyle w:val="MerkChar"/>
          <w:lang w:val="fr-FR"/>
        </w:rPr>
        <w:t>Alto</w:t>
      </w:r>
      <w:r w:rsidR="2CC8BABD" w:rsidRPr="00AB421C">
        <w:rPr>
          <w:lang w:val="fr-FR"/>
        </w:rPr>
        <w:t xml:space="preserve"> : 205 mm</w:t>
      </w:r>
    </w:p>
    <w:p w14:paraId="6676F5FD" w14:textId="77777777" w:rsidR="00AF69C8" w:rsidRPr="00AB421C" w:rsidRDefault="00F732FD">
      <w:pPr>
        <w:tabs>
          <w:tab w:val="left" w:pos="3686"/>
        </w:tabs>
        <w:ind w:firstLine="720"/>
        <w:rPr>
          <w:lang w:val="fr-FR"/>
        </w:rPr>
      </w:pPr>
      <w:r w:rsidRPr="00AB421C">
        <w:rPr>
          <w:lang w:val="fr-FR"/>
        </w:rPr>
        <w:tab/>
      </w:r>
      <w:r w:rsidR="2CC8BABD" w:rsidRPr="00255660">
        <w:rPr>
          <w:rStyle w:val="MerkChar"/>
          <w:lang w:val="fr-FR"/>
        </w:rPr>
        <w:t>Largo</w:t>
      </w:r>
      <w:r w:rsidR="2CC8BABD" w:rsidRPr="00AB421C">
        <w:rPr>
          <w:lang w:val="fr-FR"/>
        </w:rPr>
        <w:t xml:space="preserve"> : 255 mm</w:t>
      </w:r>
    </w:p>
    <w:p w14:paraId="0E2C1F35" w14:textId="77777777" w:rsidR="00AF69C8" w:rsidRPr="00AB421C" w:rsidRDefault="00AF69C8">
      <w:pPr>
        <w:ind w:firstLine="720"/>
        <w:rPr>
          <w:lang w:val="fr-FR"/>
        </w:rPr>
      </w:pPr>
    </w:p>
    <w:p w14:paraId="4DB5F8E3" w14:textId="77777777" w:rsidR="00AF69C8" w:rsidRPr="00AB421C" w:rsidRDefault="2CC8BABD">
      <w:pPr>
        <w:pStyle w:val="Kop5"/>
        <w:rPr>
          <w:lang w:val="fr-FR"/>
        </w:rPr>
      </w:pPr>
      <w:r w:rsidRPr="00AB421C">
        <w:rPr>
          <w:lang w:val="fr-FR"/>
        </w:rPr>
        <w:t>Nature de l'accord :</w:t>
      </w:r>
    </w:p>
    <w:p w14:paraId="591A04FD" w14:textId="77777777" w:rsidR="00AF69C8" w:rsidRPr="00AB421C" w:rsidRDefault="2CC8BABD">
      <w:pPr>
        <w:rPr>
          <w:lang w:val="fr-FR"/>
        </w:rPr>
      </w:pPr>
      <w:r w:rsidRPr="00AB421C">
        <w:rPr>
          <w:lang w:val="fr-FR"/>
        </w:rPr>
        <w:t>Quantité présumée (VH)</w:t>
      </w:r>
    </w:p>
    <w:p w14:paraId="563E46A9" w14:textId="77777777" w:rsidR="00AF69C8" w:rsidRPr="00AB421C" w:rsidRDefault="00AF69C8">
      <w:pPr>
        <w:pStyle w:val="Kop5"/>
        <w:rPr>
          <w:lang w:val="fr-FR"/>
        </w:rPr>
      </w:pPr>
    </w:p>
    <w:p w14:paraId="2E2998B0" w14:textId="77777777" w:rsidR="00AF69C8" w:rsidRPr="00AB421C" w:rsidRDefault="2CC8BABD">
      <w:pPr>
        <w:pStyle w:val="Kop5"/>
        <w:rPr>
          <w:lang w:val="fr-FR"/>
        </w:rPr>
      </w:pPr>
      <w:r w:rsidRPr="00AB421C">
        <w:rPr>
          <w:lang w:val="fr-FR"/>
        </w:rPr>
        <w:t>Méthode de mesure :</w:t>
      </w:r>
    </w:p>
    <w:p w14:paraId="0CD362DF" w14:textId="77777777" w:rsidR="00AF69C8" w:rsidRPr="00AB421C" w:rsidRDefault="2CC8BABD">
      <w:pPr>
        <w:pStyle w:val="Meting"/>
        <w:rPr>
          <w:lang w:val="fr-FR"/>
        </w:rPr>
      </w:pPr>
      <w:r w:rsidRPr="00AB421C">
        <w:rPr>
          <w:lang w:val="fr-FR"/>
        </w:rPr>
        <w:t>Unité de mesure :</w:t>
      </w:r>
      <w:r w:rsidR="00F732FD" w:rsidRPr="00AB421C">
        <w:rPr>
          <w:lang w:val="fr-FR"/>
        </w:rPr>
        <w:tab/>
      </w:r>
      <w:r w:rsidRPr="00AB421C">
        <w:rPr>
          <w:lang w:val="fr-FR"/>
        </w:rPr>
        <w:t xml:space="preserve">  mm</w:t>
      </w:r>
    </w:p>
    <w:p w14:paraId="2484AAB4" w14:textId="77777777" w:rsidR="00AF69C8" w:rsidRPr="00AB421C" w:rsidRDefault="2CC8BABD">
      <w:pPr>
        <w:pStyle w:val="Meting"/>
        <w:rPr>
          <w:lang w:val="fr-FR"/>
        </w:rPr>
      </w:pPr>
      <w:r w:rsidRPr="00AB421C">
        <w:rPr>
          <w:lang w:val="fr-FR"/>
        </w:rPr>
        <w:t>Code de mesure :</w:t>
      </w:r>
    </w:p>
    <w:p w14:paraId="10957CE2" w14:textId="77777777" w:rsidR="00AF69C8" w:rsidRPr="00AB421C" w:rsidRDefault="00AF69C8">
      <w:pPr>
        <w:pStyle w:val="Meting"/>
        <w:ind w:left="0" w:firstLine="0"/>
        <w:rPr>
          <w:lang w:val="fr-FR"/>
        </w:rPr>
      </w:pPr>
    </w:p>
    <w:p w14:paraId="51E49423" w14:textId="38E9BC49" w:rsidR="00AF69C8" w:rsidRPr="00AB421C" w:rsidRDefault="2CC8BABD">
      <w:pPr>
        <w:rPr>
          <w:lang w:val="fr-FR"/>
        </w:rPr>
      </w:pPr>
      <w:r w:rsidRPr="00AB421C">
        <w:rPr>
          <w:lang w:val="fr-FR"/>
        </w:rPr>
        <w:t xml:space="preserve">Pour une assistance commerciale et technique (instructions d'installation, listes de pièces détachées, calculs, etc.…), veuillez contacter votre revendeur régional ou le département de projet </w:t>
      </w:r>
      <w:r w:rsidRPr="00AB421C">
        <w:rPr>
          <w:rStyle w:val="MerkChar"/>
          <w:lang w:val="fr-FR"/>
        </w:rPr>
        <w:t>DUCO 'Ventilation &amp; Sun Control'</w:t>
      </w:r>
      <w:r w:rsidRPr="00AB421C">
        <w:rPr>
          <w:lang w:val="fr-FR"/>
        </w:rPr>
        <w:t>.</w:t>
      </w:r>
    </w:p>
    <w:sectPr w:rsidR="00AF69C8" w:rsidRPr="00AB421C">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5D8E" w14:textId="77777777" w:rsidR="00F333B9" w:rsidRDefault="00F333B9">
      <w:r>
        <w:separator/>
      </w:r>
    </w:p>
  </w:endnote>
  <w:endnote w:type="continuationSeparator" w:id="0">
    <w:p w14:paraId="257A34D7" w14:textId="77777777" w:rsidR="00F333B9" w:rsidRDefault="00F3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AF69C8" w:rsidRDefault="001427D9">
    <w:pPr>
      <w:pStyle w:val="Voettekst"/>
      <w:jc w:val="right"/>
    </w:pPr>
    <w: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60288;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037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75C37" w14:textId="77777777" w:rsidR="00F333B9" w:rsidRDefault="00F333B9">
      <w:r>
        <w:separator/>
      </w:r>
    </w:p>
  </w:footnote>
  <w:footnote w:type="continuationSeparator" w:id="0">
    <w:p w14:paraId="057B0A59" w14:textId="77777777" w:rsidR="00F333B9" w:rsidRDefault="00F3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AF69C8" w:rsidRDefault="00F732FD">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AF69C8" w:rsidRDefault="00F732FD">
    <w:pPr>
      <w:pBdr>
        <w:bottom w:val="single" w:sz="6" w:space="0" w:color="000000"/>
      </w:pBdr>
      <w:tabs>
        <w:tab w:val="right" w:pos="9540"/>
      </w:tabs>
      <w:spacing w:line="200" w:lineRule="exact"/>
    </w:pPr>
    <w:r>
      <w:t>dossier .......... - dd. ........</w:t>
    </w:r>
    <w:r>
      <w:tab/>
    </w:r>
    <w:r>
      <w:fldChar w:fldCharType="begin"/>
    </w:r>
    <w:r>
      <w:instrText>PAGE</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348867173">
    <w:abstractNumId w:val="0"/>
  </w:num>
  <w:num w:numId="2" w16cid:durableId="1246575442">
    <w:abstractNumId w:val="1"/>
  </w:num>
  <w:num w:numId="3" w16cid:durableId="1096440305">
    <w:abstractNumId w:val="9"/>
  </w:num>
  <w:num w:numId="4" w16cid:durableId="952983352">
    <w:abstractNumId w:val="6"/>
  </w:num>
  <w:num w:numId="5" w16cid:durableId="1319261101">
    <w:abstractNumId w:val="2"/>
  </w:num>
  <w:num w:numId="6" w16cid:durableId="166286239">
    <w:abstractNumId w:val="4"/>
  </w:num>
  <w:num w:numId="7" w16cid:durableId="2138909669">
    <w:abstractNumId w:val="5"/>
  </w:num>
  <w:num w:numId="8" w16cid:durableId="508643663">
    <w:abstractNumId w:val="3"/>
  </w:num>
  <w:num w:numId="9" w16cid:durableId="1186361759">
    <w:abstractNumId w:val="11"/>
  </w:num>
  <w:num w:numId="10" w16cid:durableId="1952588259">
    <w:abstractNumId w:val="7"/>
  </w:num>
  <w:num w:numId="11" w16cid:durableId="1839926793">
    <w:abstractNumId w:val="10"/>
  </w:num>
  <w:num w:numId="12" w16cid:durableId="40229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0F58"/>
    <w:rsid w:val="000126E9"/>
    <w:rsid w:val="000142BC"/>
    <w:rsid w:val="00017BF1"/>
    <w:rsid w:val="0002147E"/>
    <w:rsid w:val="000225BB"/>
    <w:rsid w:val="0002456F"/>
    <w:rsid w:val="000266AC"/>
    <w:rsid w:val="00030C6F"/>
    <w:rsid w:val="00030D6A"/>
    <w:rsid w:val="00036834"/>
    <w:rsid w:val="0003688E"/>
    <w:rsid w:val="000400D3"/>
    <w:rsid w:val="0004052D"/>
    <w:rsid w:val="00044F69"/>
    <w:rsid w:val="0004754E"/>
    <w:rsid w:val="00053C13"/>
    <w:rsid w:val="000605A5"/>
    <w:rsid w:val="00071FF4"/>
    <w:rsid w:val="00073090"/>
    <w:rsid w:val="00073111"/>
    <w:rsid w:val="00081691"/>
    <w:rsid w:val="00085529"/>
    <w:rsid w:val="00086B68"/>
    <w:rsid w:val="00087997"/>
    <w:rsid w:val="00091BD5"/>
    <w:rsid w:val="00091F21"/>
    <w:rsid w:val="00092C2A"/>
    <w:rsid w:val="000941FE"/>
    <w:rsid w:val="00095119"/>
    <w:rsid w:val="000978B2"/>
    <w:rsid w:val="000B5092"/>
    <w:rsid w:val="000B6119"/>
    <w:rsid w:val="000C5BB4"/>
    <w:rsid w:val="000C6157"/>
    <w:rsid w:val="000C657E"/>
    <w:rsid w:val="000D0E51"/>
    <w:rsid w:val="000D1CE2"/>
    <w:rsid w:val="000D24F1"/>
    <w:rsid w:val="000D7B21"/>
    <w:rsid w:val="000E22FA"/>
    <w:rsid w:val="000E44E1"/>
    <w:rsid w:val="000E5CC3"/>
    <w:rsid w:val="000E77A2"/>
    <w:rsid w:val="000F2713"/>
    <w:rsid w:val="0010107A"/>
    <w:rsid w:val="00107211"/>
    <w:rsid w:val="001132CD"/>
    <w:rsid w:val="001153CF"/>
    <w:rsid w:val="0011726D"/>
    <w:rsid w:val="00117554"/>
    <w:rsid w:val="00117DE7"/>
    <w:rsid w:val="00120531"/>
    <w:rsid w:val="00125D74"/>
    <w:rsid w:val="0012791C"/>
    <w:rsid w:val="00130D42"/>
    <w:rsid w:val="00131313"/>
    <w:rsid w:val="00131F9E"/>
    <w:rsid w:val="00142184"/>
    <w:rsid w:val="001427D9"/>
    <w:rsid w:val="00147FB2"/>
    <w:rsid w:val="00151390"/>
    <w:rsid w:val="0015158B"/>
    <w:rsid w:val="0016108E"/>
    <w:rsid w:val="00164F7F"/>
    <w:rsid w:val="00165C47"/>
    <w:rsid w:val="0016601F"/>
    <w:rsid w:val="001722FA"/>
    <w:rsid w:val="00180E4E"/>
    <w:rsid w:val="001819F9"/>
    <w:rsid w:val="00183DF2"/>
    <w:rsid w:val="0019696F"/>
    <w:rsid w:val="001A161B"/>
    <w:rsid w:val="001A58D2"/>
    <w:rsid w:val="001A7E7D"/>
    <w:rsid w:val="001C240B"/>
    <w:rsid w:val="001C5C83"/>
    <w:rsid w:val="001C5E46"/>
    <w:rsid w:val="001C7085"/>
    <w:rsid w:val="001C7111"/>
    <w:rsid w:val="001C7CE2"/>
    <w:rsid w:val="001D0164"/>
    <w:rsid w:val="001D20C5"/>
    <w:rsid w:val="001D2A39"/>
    <w:rsid w:val="001D3D4A"/>
    <w:rsid w:val="001E1440"/>
    <w:rsid w:val="001E4698"/>
    <w:rsid w:val="001F2558"/>
    <w:rsid w:val="0020404B"/>
    <w:rsid w:val="0020447F"/>
    <w:rsid w:val="00204812"/>
    <w:rsid w:val="00204AC1"/>
    <w:rsid w:val="00216B57"/>
    <w:rsid w:val="00221FBF"/>
    <w:rsid w:val="00226633"/>
    <w:rsid w:val="00231E0D"/>
    <w:rsid w:val="00252D1B"/>
    <w:rsid w:val="00255660"/>
    <w:rsid w:val="002561FE"/>
    <w:rsid w:val="0025674D"/>
    <w:rsid w:val="00262B41"/>
    <w:rsid w:val="00263EBF"/>
    <w:rsid w:val="0026458D"/>
    <w:rsid w:val="00265428"/>
    <w:rsid w:val="00272FD9"/>
    <w:rsid w:val="00273568"/>
    <w:rsid w:val="00275014"/>
    <w:rsid w:val="00275820"/>
    <w:rsid w:val="00277571"/>
    <w:rsid w:val="002778EE"/>
    <w:rsid w:val="002837ED"/>
    <w:rsid w:val="00291BC7"/>
    <w:rsid w:val="00292837"/>
    <w:rsid w:val="002A4566"/>
    <w:rsid w:val="002A488C"/>
    <w:rsid w:val="002B03A9"/>
    <w:rsid w:val="002B4CF0"/>
    <w:rsid w:val="002B6A97"/>
    <w:rsid w:val="002D088D"/>
    <w:rsid w:val="002D10E3"/>
    <w:rsid w:val="002D1E41"/>
    <w:rsid w:val="002D44B3"/>
    <w:rsid w:val="002D4E9D"/>
    <w:rsid w:val="002E14EE"/>
    <w:rsid w:val="002E31CA"/>
    <w:rsid w:val="002E4B96"/>
    <w:rsid w:val="002E6281"/>
    <w:rsid w:val="002F076A"/>
    <w:rsid w:val="002F272C"/>
    <w:rsid w:val="002F4B50"/>
    <w:rsid w:val="003004B1"/>
    <w:rsid w:val="00300BFD"/>
    <w:rsid w:val="0030220C"/>
    <w:rsid w:val="00315CDA"/>
    <w:rsid w:val="00322422"/>
    <w:rsid w:val="00324363"/>
    <w:rsid w:val="003300F9"/>
    <w:rsid w:val="00330F3E"/>
    <w:rsid w:val="00344C87"/>
    <w:rsid w:val="00355523"/>
    <w:rsid w:val="00360B18"/>
    <w:rsid w:val="00360C24"/>
    <w:rsid w:val="00362291"/>
    <w:rsid w:val="00372462"/>
    <w:rsid w:val="00380740"/>
    <w:rsid w:val="00380AF3"/>
    <w:rsid w:val="00386545"/>
    <w:rsid w:val="003945CC"/>
    <w:rsid w:val="003961B3"/>
    <w:rsid w:val="003A2980"/>
    <w:rsid w:val="003A39C1"/>
    <w:rsid w:val="003A7A29"/>
    <w:rsid w:val="003A7C53"/>
    <w:rsid w:val="003B0573"/>
    <w:rsid w:val="003B61B7"/>
    <w:rsid w:val="003B67FB"/>
    <w:rsid w:val="003B6843"/>
    <w:rsid w:val="003B69FE"/>
    <w:rsid w:val="003E1C7C"/>
    <w:rsid w:val="003E2506"/>
    <w:rsid w:val="003E2D17"/>
    <w:rsid w:val="003F41E4"/>
    <w:rsid w:val="004017CD"/>
    <w:rsid w:val="004107E9"/>
    <w:rsid w:val="00421ADF"/>
    <w:rsid w:val="00421C9D"/>
    <w:rsid w:val="00427EDA"/>
    <w:rsid w:val="00432BD8"/>
    <w:rsid w:val="00433A78"/>
    <w:rsid w:val="00435E31"/>
    <w:rsid w:val="00443BD4"/>
    <w:rsid w:val="00443F6E"/>
    <w:rsid w:val="00444547"/>
    <w:rsid w:val="004506D8"/>
    <w:rsid w:val="00455F6B"/>
    <w:rsid w:val="00456623"/>
    <w:rsid w:val="00456B5C"/>
    <w:rsid w:val="00465EE4"/>
    <w:rsid w:val="0046635F"/>
    <w:rsid w:val="00470D63"/>
    <w:rsid w:val="00470FA6"/>
    <w:rsid w:val="004765EC"/>
    <w:rsid w:val="00477A0B"/>
    <w:rsid w:val="00481BDE"/>
    <w:rsid w:val="00482E57"/>
    <w:rsid w:val="00496EAC"/>
    <w:rsid w:val="004A1BBA"/>
    <w:rsid w:val="004A2D88"/>
    <w:rsid w:val="004A4F6C"/>
    <w:rsid w:val="004A6867"/>
    <w:rsid w:val="004C6948"/>
    <w:rsid w:val="004C6B46"/>
    <w:rsid w:val="004D24E1"/>
    <w:rsid w:val="004D61BA"/>
    <w:rsid w:val="004E1DB9"/>
    <w:rsid w:val="004E5677"/>
    <w:rsid w:val="004E6D89"/>
    <w:rsid w:val="004E7513"/>
    <w:rsid w:val="004E7860"/>
    <w:rsid w:val="004F6EE4"/>
    <w:rsid w:val="00502063"/>
    <w:rsid w:val="005031B4"/>
    <w:rsid w:val="00507846"/>
    <w:rsid w:val="005170F4"/>
    <w:rsid w:val="005219D0"/>
    <w:rsid w:val="00527769"/>
    <w:rsid w:val="00540402"/>
    <w:rsid w:val="005404ED"/>
    <w:rsid w:val="0054543C"/>
    <w:rsid w:val="005469A2"/>
    <w:rsid w:val="0055284A"/>
    <w:rsid w:val="00553205"/>
    <w:rsid w:val="005548F8"/>
    <w:rsid w:val="00557E18"/>
    <w:rsid w:val="00561DB8"/>
    <w:rsid w:val="00562434"/>
    <w:rsid w:val="00564073"/>
    <w:rsid w:val="00566283"/>
    <w:rsid w:val="0057263E"/>
    <w:rsid w:val="00573FDB"/>
    <w:rsid w:val="0058102A"/>
    <w:rsid w:val="00586E56"/>
    <w:rsid w:val="005930EC"/>
    <w:rsid w:val="00594F29"/>
    <w:rsid w:val="005A3032"/>
    <w:rsid w:val="005A7920"/>
    <w:rsid w:val="005B638A"/>
    <w:rsid w:val="005C0B75"/>
    <w:rsid w:val="005C3883"/>
    <w:rsid w:val="005C38C5"/>
    <w:rsid w:val="005C4096"/>
    <w:rsid w:val="005C4409"/>
    <w:rsid w:val="005C47BA"/>
    <w:rsid w:val="005D4123"/>
    <w:rsid w:val="005D6060"/>
    <w:rsid w:val="005D77D6"/>
    <w:rsid w:val="005E0E68"/>
    <w:rsid w:val="005E236A"/>
    <w:rsid w:val="005E675D"/>
    <w:rsid w:val="005F666D"/>
    <w:rsid w:val="005F7331"/>
    <w:rsid w:val="005F7CEB"/>
    <w:rsid w:val="006018A4"/>
    <w:rsid w:val="00605168"/>
    <w:rsid w:val="00611903"/>
    <w:rsid w:val="00617D7F"/>
    <w:rsid w:val="0063304B"/>
    <w:rsid w:val="0063441A"/>
    <w:rsid w:val="00636080"/>
    <w:rsid w:val="00636A33"/>
    <w:rsid w:val="00640009"/>
    <w:rsid w:val="00641752"/>
    <w:rsid w:val="00645B01"/>
    <w:rsid w:val="006504B4"/>
    <w:rsid w:val="00651245"/>
    <w:rsid w:val="006548D8"/>
    <w:rsid w:val="00664DF2"/>
    <w:rsid w:val="00666676"/>
    <w:rsid w:val="00670BE1"/>
    <w:rsid w:val="00671AA5"/>
    <w:rsid w:val="00671BDF"/>
    <w:rsid w:val="006721E0"/>
    <w:rsid w:val="00672841"/>
    <w:rsid w:val="00672A63"/>
    <w:rsid w:val="00675B95"/>
    <w:rsid w:val="00682314"/>
    <w:rsid w:val="00683ECC"/>
    <w:rsid w:val="00697D96"/>
    <w:rsid w:val="006A1748"/>
    <w:rsid w:val="006A3B32"/>
    <w:rsid w:val="006A45D9"/>
    <w:rsid w:val="006A4775"/>
    <w:rsid w:val="006A53D4"/>
    <w:rsid w:val="006A60BC"/>
    <w:rsid w:val="006B1D69"/>
    <w:rsid w:val="006B7A3C"/>
    <w:rsid w:val="006C04B1"/>
    <w:rsid w:val="006C113F"/>
    <w:rsid w:val="006C1C44"/>
    <w:rsid w:val="006C4B74"/>
    <w:rsid w:val="006C7820"/>
    <w:rsid w:val="006C7CAA"/>
    <w:rsid w:val="006D1BE5"/>
    <w:rsid w:val="006D281E"/>
    <w:rsid w:val="006F13B2"/>
    <w:rsid w:val="006F2262"/>
    <w:rsid w:val="006F4025"/>
    <w:rsid w:val="00702A7D"/>
    <w:rsid w:val="007049DD"/>
    <w:rsid w:val="00705CAE"/>
    <w:rsid w:val="0071159F"/>
    <w:rsid w:val="00713596"/>
    <w:rsid w:val="007143AC"/>
    <w:rsid w:val="0071738A"/>
    <w:rsid w:val="0072049F"/>
    <w:rsid w:val="007211F6"/>
    <w:rsid w:val="0072211D"/>
    <w:rsid w:val="00722D02"/>
    <w:rsid w:val="00725B2E"/>
    <w:rsid w:val="00725F5B"/>
    <w:rsid w:val="00726F18"/>
    <w:rsid w:val="00731336"/>
    <w:rsid w:val="00737663"/>
    <w:rsid w:val="007379C7"/>
    <w:rsid w:val="00743019"/>
    <w:rsid w:val="007467AD"/>
    <w:rsid w:val="00747596"/>
    <w:rsid w:val="00747D58"/>
    <w:rsid w:val="00762B69"/>
    <w:rsid w:val="0076400D"/>
    <w:rsid w:val="007663BA"/>
    <w:rsid w:val="007755B2"/>
    <w:rsid w:val="007824DE"/>
    <w:rsid w:val="0078694E"/>
    <w:rsid w:val="00790F34"/>
    <w:rsid w:val="00791D5E"/>
    <w:rsid w:val="007A3C89"/>
    <w:rsid w:val="007A52A0"/>
    <w:rsid w:val="007C1A00"/>
    <w:rsid w:val="007C7954"/>
    <w:rsid w:val="007C79A5"/>
    <w:rsid w:val="007D1AB2"/>
    <w:rsid w:val="007D45EA"/>
    <w:rsid w:val="007E0DB4"/>
    <w:rsid w:val="007E2E2D"/>
    <w:rsid w:val="007F2E84"/>
    <w:rsid w:val="007F3E75"/>
    <w:rsid w:val="007F4004"/>
    <w:rsid w:val="007F5BF2"/>
    <w:rsid w:val="007F6FEB"/>
    <w:rsid w:val="007F7623"/>
    <w:rsid w:val="00800B90"/>
    <w:rsid w:val="0080180C"/>
    <w:rsid w:val="0081343E"/>
    <w:rsid w:val="008162F7"/>
    <w:rsid w:val="008223D9"/>
    <w:rsid w:val="00832D44"/>
    <w:rsid w:val="00833807"/>
    <w:rsid w:val="00843F31"/>
    <w:rsid w:val="0084560D"/>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0021"/>
    <w:rsid w:val="0088568C"/>
    <w:rsid w:val="00890103"/>
    <w:rsid w:val="008912E5"/>
    <w:rsid w:val="00894003"/>
    <w:rsid w:val="008A100A"/>
    <w:rsid w:val="008A37A4"/>
    <w:rsid w:val="008B5232"/>
    <w:rsid w:val="008B5AA1"/>
    <w:rsid w:val="008B649A"/>
    <w:rsid w:val="008B6513"/>
    <w:rsid w:val="008C6696"/>
    <w:rsid w:val="008D4C8A"/>
    <w:rsid w:val="008E045F"/>
    <w:rsid w:val="008E1913"/>
    <w:rsid w:val="008E48C5"/>
    <w:rsid w:val="008E4B1C"/>
    <w:rsid w:val="008E4CBB"/>
    <w:rsid w:val="008E5B0C"/>
    <w:rsid w:val="008F0D17"/>
    <w:rsid w:val="008F14A5"/>
    <w:rsid w:val="008F2D27"/>
    <w:rsid w:val="00911456"/>
    <w:rsid w:val="00911794"/>
    <w:rsid w:val="0091271D"/>
    <w:rsid w:val="00915E83"/>
    <w:rsid w:val="00917DC2"/>
    <w:rsid w:val="00923947"/>
    <w:rsid w:val="00927707"/>
    <w:rsid w:val="00927D91"/>
    <w:rsid w:val="00930A05"/>
    <w:rsid w:val="00931DFE"/>
    <w:rsid w:val="00946231"/>
    <w:rsid w:val="009516C8"/>
    <w:rsid w:val="00952BB5"/>
    <w:rsid w:val="00957419"/>
    <w:rsid w:val="009576A9"/>
    <w:rsid w:val="00961E59"/>
    <w:rsid w:val="00964D48"/>
    <w:rsid w:val="0096514D"/>
    <w:rsid w:val="00974B37"/>
    <w:rsid w:val="00975E36"/>
    <w:rsid w:val="00981727"/>
    <w:rsid w:val="00981AF9"/>
    <w:rsid w:val="00986423"/>
    <w:rsid w:val="00986746"/>
    <w:rsid w:val="00986A81"/>
    <w:rsid w:val="00991956"/>
    <w:rsid w:val="009A19D3"/>
    <w:rsid w:val="009A3B30"/>
    <w:rsid w:val="009B1ED2"/>
    <w:rsid w:val="009B4CB1"/>
    <w:rsid w:val="009B577C"/>
    <w:rsid w:val="009B6734"/>
    <w:rsid w:val="009C12AA"/>
    <w:rsid w:val="009C3861"/>
    <w:rsid w:val="009D0BA2"/>
    <w:rsid w:val="009D2A5D"/>
    <w:rsid w:val="009E1DD4"/>
    <w:rsid w:val="009E28D3"/>
    <w:rsid w:val="009E47C8"/>
    <w:rsid w:val="009E57C5"/>
    <w:rsid w:val="009E7FD2"/>
    <w:rsid w:val="009F4DB7"/>
    <w:rsid w:val="00A02013"/>
    <w:rsid w:val="00A0233E"/>
    <w:rsid w:val="00A061A3"/>
    <w:rsid w:val="00A11AF0"/>
    <w:rsid w:val="00A145A1"/>
    <w:rsid w:val="00A1495E"/>
    <w:rsid w:val="00A16F33"/>
    <w:rsid w:val="00A20E89"/>
    <w:rsid w:val="00A21641"/>
    <w:rsid w:val="00A241A7"/>
    <w:rsid w:val="00A26DFE"/>
    <w:rsid w:val="00A4491C"/>
    <w:rsid w:val="00A45E06"/>
    <w:rsid w:val="00A46EB8"/>
    <w:rsid w:val="00A51CF4"/>
    <w:rsid w:val="00A54754"/>
    <w:rsid w:val="00A620A1"/>
    <w:rsid w:val="00A6231E"/>
    <w:rsid w:val="00A631B0"/>
    <w:rsid w:val="00A6696A"/>
    <w:rsid w:val="00A70B59"/>
    <w:rsid w:val="00A75716"/>
    <w:rsid w:val="00A80E56"/>
    <w:rsid w:val="00A82426"/>
    <w:rsid w:val="00A84A25"/>
    <w:rsid w:val="00A9098B"/>
    <w:rsid w:val="00A90C7A"/>
    <w:rsid w:val="00A91EE2"/>
    <w:rsid w:val="00A93B34"/>
    <w:rsid w:val="00A93C1D"/>
    <w:rsid w:val="00A94700"/>
    <w:rsid w:val="00A94A10"/>
    <w:rsid w:val="00AA0B49"/>
    <w:rsid w:val="00AA22AD"/>
    <w:rsid w:val="00AA64D7"/>
    <w:rsid w:val="00AB421C"/>
    <w:rsid w:val="00AB786E"/>
    <w:rsid w:val="00AC2FDB"/>
    <w:rsid w:val="00AC36B6"/>
    <w:rsid w:val="00AC5372"/>
    <w:rsid w:val="00AC5733"/>
    <w:rsid w:val="00AC7F8E"/>
    <w:rsid w:val="00AD100E"/>
    <w:rsid w:val="00AD5358"/>
    <w:rsid w:val="00AF1BA7"/>
    <w:rsid w:val="00AF372E"/>
    <w:rsid w:val="00AF4C54"/>
    <w:rsid w:val="00AF6677"/>
    <w:rsid w:val="00AF69C8"/>
    <w:rsid w:val="00B00357"/>
    <w:rsid w:val="00B10721"/>
    <w:rsid w:val="00B10847"/>
    <w:rsid w:val="00B203BD"/>
    <w:rsid w:val="00B208A4"/>
    <w:rsid w:val="00B21708"/>
    <w:rsid w:val="00B23838"/>
    <w:rsid w:val="00B24D93"/>
    <w:rsid w:val="00B2594B"/>
    <w:rsid w:val="00B32FBE"/>
    <w:rsid w:val="00B4255E"/>
    <w:rsid w:val="00B461DC"/>
    <w:rsid w:val="00B46344"/>
    <w:rsid w:val="00B463BC"/>
    <w:rsid w:val="00B61F6D"/>
    <w:rsid w:val="00B7224D"/>
    <w:rsid w:val="00B73096"/>
    <w:rsid w:val="00B73EE9"/>
    <w:rsid w:val="00B7464F"/>
    <w:rsid w:val="00B84255"/>
    <w:rsid w:val="00B84819"/>
    <w:rsid w:val="00BA44C8"/>
    <w:rsid w:val="00BA5081"/>
    <w:rsid w:val="00BB1F06"/>
    <w:rsid w:val="00BB2B08"/>
    <w:rsid w:val="00BB386F"/>
    <w:rsid w:val="00BB48CA"/>
    <w:rsid w:val="00BB555A"/>
    <w:rsid w:val="00BB6EF8"/>
    <w:rsid w:val="00BC18F5"/>
    <w:rsid w:val="00BC2B73"/>
    <w:rsid w:val="00BC40B2"/>
    <w:rsid w:val="00BD36B5"/>
    <w:rsid w:val="00BD4A9F"/>
    <w:rsid w:val="00BD56ED"/>
    <w:rsid w:val="00BE02DB"/>
    <w:rsid w:val="00BE2BFA"/>
    <w:rsid w:val="00BE4EB2"/>
    <w:rsid w:val="00BE6FB5"/>
    <w:rsid w:val="00BE7C95"/>
    <w:rsid w:val="00BF0D73"/>
    <w:rsid w:val="00BF3A17"/>
    <w:rsid w:val="00BF6F3F"/>
    <w:rsid w:val="00C037C5"/>
    <w:rsid w:val="00C06D0B"/>
    <w:rsid w:val="00C11AA5"/>
    <w:rsid w:val="00C155CF"/>
    <w:rsid w:val="00C2153F"/>
    <w:rsid w:val="00C21C86"/>
    <w:rsid w:val="00C2239D"/>
    <w:rsid w:val="00C24CC8"/>
    <w:rsid w:val="00C26280"/>
    <w:rsid w:val="00C26CA7"/>
    <w:rsid w:val="00C26DA9"/>
    <w:rsid w:val="00C319F4"/>
    <w:rsid w:val="00C3249F"/>
    <w:rsid w:val="00C3447F"/>
    <w:rsid w:val="00C36D66"/>
    <w:rsid w:val="00C40BB9"/>
    <w:rsid w:val="00C43F90"/>
    <w:rsid w:val="00C538B7"/>
    <w:rsid w:val="00C55B56"/>
    <w:rsid w:val="00C56339"/>
    <w:rsid w:val="00C57DC9"/>
    <w:rsid w:val="00C6378F"/>
    <w:rsid w:val="00C66230"/>
    <w:rsid w:val="00C70BC8"/>
    <w:rsid w:val="00C727B3"/>
    <w:rsid w:val="00C74286"/>
    <w:rsid w:val="00C7452B"/>
    <w:rsid w:val="00C754B9"/>
    <w:rsid w:val="00C75A2B"/>
    <w:rsid w:val="00C80D4B"/>
    <w:rsid w:val="00C83939"/>
    <w:rsid w:val="00C840C5"/>
    <w:rsid w:val="00C84348"/>
    <w:rsid w:val="00C846F2"/>
    <w:rsid w:val="00C8581E"/>
    <w:rsid w:val="00C86806"/>
    <w:rsid w:val="00C91857"/>
    <w:rsid w:val="00C93F25"/>
    <w:rsid w:val="00C97FDF"/>
    <w:rsid w:val="00CB1B4C"/>
    <w:rsid w:val="00CB2ACD"/>
    <w:rsid w:val="00CB2D4B"/>
    <w:rsid w:val="00CC1470"/>
    <w:rsid w:val="00CC25F2"/>
    <w:rsid w:val="00CC28FB"/>
    <w:rsid w:val="00CC3352"/>
    <w:rsid w:val="00CC45B5"/>
    <w:rsid w:val="00CC60C5"/>
    <w:rsid w:val="00CE126D"/>
    <w:rsid w:val="00CE5C8F"/>
    <w:rsid w:val="00CE69F7"/>
    <w:rsid w:val="00CF3DEB"/>
    <w:rsid w:val="00D00D9F"/>
    <w:rsid w:val="00D01AB3"/>
    <w:rsid w:val="00D04EC2"/>
    <w:rsid w:val="00D117C8"/>
    <w:rsid w:val="00D127EF"/>
    <w:rsid w:val="00D161CD"/>
    <w:rsid w:val="00D22332"/>
    <w:rsid w:val="00D31961"/>
    <w:rsid w:val="00D33A72"/>
    <w:rsid w:val="00D35380"/>
    <w:rsid w:val="00D353C2"/>
    <w:rsid w:val="00D36715"/>
    <w:rsid w:val="00D40733"/>
    <w:rsid w:val="00D41616"/>
    <w:rsid w:val="00D42EB9"/>
    <w:rsid w:val="00D435F1"/>
    <w:rsid w:val="00D47DB5"/>
    <w:rsid w:val="00D47EE6"/>
    <w:rsid w:val="00D55388"/>
    <w:rsid w:val="00D5660F"/>
    <w:rsid w:val="00D56D45"/>
    <w:rsid w:val="00D57AFA"/>
    <w:rsid w:val="00D65D10"/>
    <w:rsid w:val="00D66490"/>
    <w:rsid w:val="00D672F9"/>
    <w:rsid w:val="00D67EBC"/>
    <w:rsid w:val="00D7747F"/>
    <w:rsid w:val="00D86BCA"/>
    <w:rsid w:val="00D87B42"/>
    <w:rsid w:val="00D936A7"/>
    <w:rsid w:val="00DA5199"/>
    <w:rsid w:val="00DB52F1"/>
    <w:rsid w:val="00DB6FD7"/>
    <w:rsid w:val="00DC0316"/>
    <w:rsid w:val="00DC2B0D"/>
    <w:rsid w:val="00DC3629"/>
    <w:rsid w:val="00DC6B6A"/>
    <w:rsid w:val="00DD692E"/>
    <w:rsid w:val="00DE0C13"/>
    <w:rsid w:val="00DE5ECC"/>
    <w:rsid w:val="00E031D8"/>
    <w:rsid w:val="00E050E8"/>
    <w:rsid w:val="00E0690D"/>
    <w:rsid w:val="00E070A5"/>
    <w:rsid w:val="00E2261E"/>
    <w:rsid w:val="00E2369F"/>
    <w:rsid w:val="00E33328"/>
    <w:rsid w:val="00E47C1B"/>
    <w:rsid w:val="00E50562"/>
    <w:rsid w:val="00E5565D"/>
    <w:rsid w:val="00E56588"/>
    <w:rsid w:val="00E64346"/>
    <w:rsid w:val="00E67D7C"/>
    <w:rsid w:val="00E71A9E"/>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383D"/>
    <w:rsid w:val="00ED6505"/>
    <w:rsid w:val="00EE0612"/>
    <w:rsid w:val="00EE2887"/>
    <w:rsid w:val="00EE371A"/>
    <w:rsid w:val="00EE49DE"/>
    <w:rsid w:val="00EE643C"/>
    <w:rsid w:val="00EF21B9"/>
    <w:rsid w:val="00F052A4"/>
    <w:rsid w:val="00F054E9"/>
    <w:rsid w:val="00F056CF"/>
    <w:rsid w:val="00F10F99"/>
    <w:rsid w:val="00F1137B"/>
    <w:rsid w:val="00F13C68"/>
    <w:rsid w:val="00F14641"/>
    <w:rsid w:val="00F15B86"/>
    <w:rsid w:val="00F16CF1"/>
    <w:rsid w:val="00F17A68"/>
    <w:rsid w:val="00F3184B"/>
    <w:rsid w:val="00F330E5"/>
    <w:rsid w:val="00F333B9"/>
    <w:rsid w:val="00F34E8D"/>
    <w:rsid w:val="00F410D7"/>
    <w:rsid w:val="00F429C2"/>
    <w:rsid w:val="00F46719"/>
    <w:rsid w:val="00F47125"/>
    <w:rsid w:val="00F507DC"/>
    <w:rsid w:val="00F51D3A"/>
    <w:rsid w:val="00F55EC7"/>
    <w:rsid w:val="00F57532"/>
    <w:rsid w:val="00F60435"/>
    <w:rsid w:val="00F61833"/>
    <w:rsid w:val="00F62DE2"/>
    <w:rsid w:val="00F732FD"/>
    <w:rsid w:val="00F746F9"/>
    <w:rsid w:val="00F8129B"/>
    <w:rsid w:val="00F828DE"/>
    <w:rsid w:val="00F82ADB"/>
    <w:rsid w:val="00F87C3D"/>
    <w:rsid w:val="00FA27A8"/>
    <w:rsid w:val="00FB0A7F"/>
    <w:rsid w:val="00FB4122"/>
    <w:rsid w:val="00FB77E9"/>
    <w:rsid w:val="00FB7AB5"/>
    <w:rsid w:val="00FB7DFD"/>
    <w:rsid w:val="00FC0D47"/>
    <w:rsid w:val="00FC48FE"/>
    <w:rsid w:val="00FD6280"/>
    <w:rsid w:val="00FE1A71"/>
    <w:rsid w:val="00FE38CE"/>
    <w:rsid w:val="00FE4A02"/>
    <w:rsid w:val="00FE5720"/>
    <w:rsid w:val="00FF5971"/>
    <w:rsid w:val="00FF68F6"/>
    <w:rsid w:val="00FF6F40"/>
    <w:rsid w:val="2CC8BABD"/>
    <w:rsid w:val="3AA253F9"/>
    <w:rsid w:val="3DDFE445"/>
    <w:rsid w:val="42F66FDC"/>
    <w:rsid w:val="436E7240"/>
    <w:rsid w:val="44309476"/>
    <w:rsid w:val="6D0FBBAE"/>
    <w:rsid w:val="7CE20F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 w:type="paragraph" w:customStyle="1" w:styleId="P68B1DB1-Lijstalinea1">
    <w:name w:val="P68B1DB1-Lijstalinea1"/>
    <w:basedOn w:val="Lijstalinea"/>
    <w:rPr>
      <w:rFonts w:eastAsia="MS Mincho"/>
    </w:rPr>
  </w:style>
  <w:style w:type="paragraph" w:customStyle="1" w:styleId="P68B1DB1-Standaard2">
    <w:name w:val="P68B1DB1-Standaard2"/>
    <w:basedOn w:val="Standaard"/>
    <w:rPr>
      <w:b/>
      <w:u w:val="single"/>
    </w:rPr>
  </w:style>
  <w:style w:type="paragraph" w:customStyle="1" w:styleId="P68B1DB1-Standaard3">
    <w:name w:val="P68B1DB1-Standaard3"/>
    <w:basedOn w:val="Standaard"/>
    <w:rPr>
      <w:rFonts w:eastAsia="MS Mincho"/>
      <w:b/>
      <w:u w:val="single"/>
    </w:rPr>
  </w:style>
  <w:style w:type="paragraph" w:customStyle="1" w:styleId="P68B1DB1-Standaard4">
    <w:name w:val="P68B1DB1-Standaard4"/>
    <w:basedOn w:val="Standaard"/>
    <w:rPr>
      <w:rFonts w:cs="Arial"/>
      <w:color w:val="000000"/>
    </w:rPr>
  </w:style>
  <w:style w:type="paragraph" w:customStyle="1" w:styleId="P68B1DB1-Tekstzonderopmaak5">
    <w:name w:val="P68B1DB1-Tekstzonderopmaak5"/>
    <w:basedOn w:val="Tekstzonderopmaak"/>
    <w:rPr>
      <w:rFonts w:asciiTheme="minorHAnsi" w:hAnsiTheme="minorHAnsi"/>
    </w:rPr>
  </w:style>
  <w:style w:type="paragraph" w:customStyle="1" w:styleId="P68B1DB1-Standaard6">
    <w:name w:val="P68B1DB1-Standaard6"/>
    <w:basedOn w:val="Standaard"/>
    <w:rPr>
      <w:rFonts w:eastAsia="MS Mincho"/>
    </w:rPr>
  </w:style>
  <w:style w:type="paragraph" w:customStyle="1" w:styleId="P68B1DB1-Nota7">
    <w:name w:val="P68B1DB1-Nota7"/>
    <w:basedOn w:val="Nota"/>
    <w:rPr>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77B15-46D1-4EF6-BEC2-C889D7AB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3.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specs2008.dotm</Template>
  <TotalTime>13</TotalTime>
  <Pages>5</Pages>
  <Words>1660</Words>
  <Characters>8547</Characters>
  <Application>Microsoft Office Word</Application>
  <DocSecurity>0</DocSecurity>
  <Lines>407</Lines>
  <Paragraphs>340</Paragraphs>
  <ScaleCrop>false</ScaleCrop>
  <Company>CAAA vzw</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50</cp:revision>
  <cp:lastPrinted>2022-03-04T12:10:00Z</cp:lastPrinted>
  <dcterms:created xsi:type="dcterms:W3CDTF">2022-10-11T09:28:00Z</dcterms:created>
  <dcterms:modified xsi:type="dcterms:W3CDTF">2024-09-05T09:20:00Z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