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70B14AD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5F2B8F">
        <w:t>Ellips</w:t>
      </w:r>
      <w:r w:rsidRPr="00664193">
        <w:t xml:space="preserve"> </w:t>
      </w:r>
      <w:r w:rsidR="00D90FFB">
        <w:t>3</w:t>
      </w:r>
      <w:r w:rsidR="008A6451">
        <w:t>5</w:t>
      </w:r>
      <w:r w:rsidRPr="00664193">
        <w:t xml:space="preserve">0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220FB52C" w:rsidR="009F46B9" w:rsidRDefault="00EB4B4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B27C015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D90FFB">
        <w:rPr>
          <w:lang w:val="en-US"/>
        </w:rPr>
        <w:t>3</w:t>
      </w:r>
      <w:r w:rsidR="00890083">
        <w:rPr>
          <w:lang w:val="en-US"/>
        </w:rPr>
        <w:t>5</w:t>
      </w:r>
      <w:r w:rsidR="00616F22">
        <w:rPr>
          <w:lang w:val="en-US"/>
        </w:rPr>
        <w:t>0</w:t>
      </w:r>
    </w:p>
    <w:p w14:paraId="4EE18A19" w14:textId="73C0E11F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5F2B8F">
        <w:t>ellips</w:t>
      </w:r>
    </w:p>
    <w:p w14:paraId="6DEAF48C" w14:textId="776D2BC5" w:rsidR="001618AE" w:rsidRPr="00CF3EED" w:rsidRDefault="001618AE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Lamelhoogte</w:t>
      </w:r>
      <w:r w:rsidRPr="00CF3EED">
        <w:rPr>
          <w:color w:val="000000" w:themeColor="text1"/>
        </w:rPr>
        <w:tab/>
      </w:r>
      <w:r w:rsidRPr="00CF3EED">
        <w:rPr>
          <w:color w:val="000000" w:themeColor="text1"/>
        </w:rPr>
        <w:tab/>
      </w:r>
      <w:r w:rsidR="00D90FFB">
        <w:rPr>
          <w:color w:val="000000" w:themeColor="text1"/>
        </w:rPr>
        <w:t>3</w:t>
      </w:r>
      <w:r w:rsidR="008A6451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Pr="00CF3EED">
        <w:rPr>
          <w:color w:val="000000" w:themeColor="text1"/>
        </w:rPr>
        <w:t> mm</w:t>
      </w:r>
    </w:p>
    <w:p w14:paraId="7F9E48FB" w14:textId="391E8A5A" w:rsidR="001618AE" w:rsidRPr="00CF3EED" w:rsidRDefault="00395F55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CF3EED">
        <w:rPr>
          <w:color w:val="000000" w:themeColor="text1"/>
        </w:rPr>
        <w:t>Lamelbreedte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E45DFE">
        <w:rPr>
          <w:color w:val="000000" w:themeColor="text1"/>
        </w:rPr>
        <w:t>5</w:t>
      </w:r>
      <w:r w:rsidR="008A6451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7ED2A73" w:rsidR="00C63555" w:rsidRPr="00CF3EED" w:rsidRDefault="00C63555" w:rsidP="00C63555">
      <w:pPr>
        <w:pStyle w:val="Lijstalinea"/>
        <w:ind w:left="2832"/>
        <w:rPr>
          <w:color w:val="000000" w:themeColor="text1"/>
        </w:rPr>
      </w:pPr>
      <w:r w:rsidRPr="00CF3EED">
        <w:rPr>
          <w:color w:val="000000" w:themeColor="text1"/>
        </w:rPr>
        <w:t>Profieldikte: min. 1,</w:t>
      </w:r>
      <w:r w:rsidR="008A6451">
        <w:rPr>
          <w:color w:val="000000" w:themeColor="text1"/>
        </w:rPr>
        <w:t>9</w:t>
      </w:r>
      <w:r w:rsidR="001C6780" w:rsidRPr="00CF3EED">
        <w:rPr>
          <w:color w:val="000000" w:themeColor="text1"/>
        </w:rPr>
        <w:t> </w:t>
      </w:r>
      <w:r w:rsidRPr="00CF3EED">
        <w:rPr>
          <w:color w:val="000000" w:themeColor="text1"/>
        </w:rP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>m) volgens Qualanod</w:t>
      </w:r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9008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9008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9008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41998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05320"/>
    <w:rsid w:val="00212D85"/>
    <w:rsid w:val="00213292"/>
    <w:rsid w:val="00222F29"/>
    <w:rsid w:val="00230367"/>
    <w:rsid w:val="00230FDD"/>
    <w:rsid w:val="002364D9"/>
    <w:rsid w:val="002539E9"/>
    <w:rsid w:val="002608E5"/>
    <w:rsid w:val="00261B7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74A52"/>
    <w:rsid w:val="00383C10"/>
    <w:rsid w:val="00395F55"/>
    <w:rsid w:val="003A228F"/>
    <w:rsid w:val="003B5A19"/>
    <w:rsid w:val="003B5C75"/>
    <w:rsid w:val="003B617A"/>
    <w:rsid w:val="003E08D1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714B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16F22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5799"/>
    <w:rsid w:val="00837BC1"/>
    <w:rsid w:val="00843129"/>
    <w:rsid w:val="00846E21"/>
    <w:rsid w:val="00850C71"/>
    <w:rsid w:val="00864FF6"/>
    <w:rsid w:val="008711DD"/>
    <w:rsid w:val="008831B5"/>
    <w:rsid w:val="00890083"/>
    <w:rsid w:val="00891CC9"/>
    <w:rsid w:val="008A2A2A"/>
    <w:rsid w:val="008A6451"/>
    <w:rsid w:val="008B3288"/>
    <w:rsid w:val="008D1CFA"/>
    <w:rsid w:val="008E518E"/>
    <w:rsid w:val="008F001D"/>
    <w:rsid w:val="008F0928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0FFB"/>
    <w:rsid w:val="00D9760C"/>
    <w:rsid w:val="00DA0288"/>
    <w:rsid w:val="00DB6004"/>
    <w:rsid w:val="00DC2732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45DFE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5f11ee-c2f3-4803-a260-eb5445b87c72"/>
    <ds:schemaRef ds:uri="http://purl.org/dc/elements/1.1/"/>
    <ds:schemaRef ds:uri="http://schemas.microsoft.com/office/2006/metadata/properties"/>
    <ds:schemaRef ds:uri="ae866069-34ca-4a1f-845e-9d4fa01fe5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13</vt:i4>
      </vt:variant>
    </vt:vector>
  </HeadingPairs>
  <TitlesOfParts>
    <vt:vector size="14" baseType="lpstr">
      <vt:lpstr/>
      <vt:lpstr>Zonweringsysteem DUCO Ventilation &amp; Sun Control DucoSun Ellips 150 Verstelbaar</vt:lpstr>
      <vt:lpstr>    Omschrijving</vt:lpstr>
      <vt:lpstr>    Uitvoering</vt:lpstr>
      <vt:lpstr>        Lamel</vt:lpstr>
      <vt:lpstr>        Draagprofiel</vt:lpstr>
      <vt:lpstr>        Motor</vt:lpstr>
      <vt:lpstr>        Toebehoren</vt:lpstr>
      <vt:lpstr>    Materiaal en oppervlaktebehandeling</vt:lpstr>
      <vt:lpstr>        Lamel</vt:lpstr>
      <vt:lpstr>        Draagprofiel</vt:lpstr>
      <vt:lpstr>        Zijplaat</vt:lpstr>
      <vt:lpstr>    Technische specificaties</vt:lpstr>
      <vt:lpstr>        Sterkteberekening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2025-02-21T12:03:00Z</dcterms:created>
  <dcterms:modified xsi:type="dcterms:W3CDTF">2025-02-21T12:04:00Z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