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14:paraId="7DD32520" w14:textId="391537F3">
      <w:pPr>
        <w:pStyle w:val="P68B1DB1-Kop11"/>
        <w:rPr>
          <w:rFonts w:asciiTheme="minorHAnsi" w:hAnsiTheme="minorHAnsi" w:cstheme="minorHAnsi"/>
        </w:rPr>
      </w:pPr>
      <w:r>
        <w:t xml:space="preserve">Grille de passage acoustique DucoGrille Transfer Acoustic</w:t>
      </w:r>
    </w:p>
    <w:p w14:paraId="28443CAE" w14:textId="77777777">
      <w:pPr>
        <w:pStyle w:val="Geenafstand"/>
        <w:rPr>
          <w:rFonts w:asciiTheme="minorHAnsi" w:hAnsiTheme="minorHAnsi" w:cstheme="minorHAnsi"/>
        </w:rPr>
      </w:pPr>
    </w:p>
    <w:p w14:paraId="5CD8A305" w14:textId="6CFAFA74">
      <w:pPr>
        <w:pStyle w:val="P68B1DB1-Geenafstand2"/>
        <w:rPr>
          <w:rFonts w:ascii="Calibri" w:asciiTheme="minorAscii" w:hAnsi="Calibri" w:hAnsiTheme="minorAscii" w:cs="Calibri" w:cstheme="minorAsci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7DF2DF6A" w14:textId="4F7CFFA0">
      <w:pPr>
        <w:pStyle w:val="P68B1DB1-Geenafstand3"/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  <w:r>
        <w:rPr>
          <w:color w:val="000000"/>
          <w:sz w:val="23"/>
        </w:rPr>
        <w:t xml:space="preserve">DucoGrille Transfer Acoustic est un aérateur de passage avec des lames acoustiques composites qui s'installe facilement dans </w:t>
      </w:r>
      <w:r>
        <w:t xml:space="preserve">les portes et les murs</w:t>
      </w:r>
      <w:r>
        <w:rPr>
          <w:color w:val="000000"/>
          <w:sz w:val="23"/>
        </w:rPr>
        <w:t xml:space="preserve">. L’aérateur est disponible </w:t>
      </w:r>
      <w:r>
        <w:t xml:space="preserve">avec ou sans contre-cadre et la profondeur du cadre est réglable</w:t>
      </w:r>
      <w:r>
        <w:rPr>
          <w:color w:val="000000"/>
          <w:sz w:val="23"/>
        </w:rPr>
        <w:t xml:space="preserve">. Le DucoGrille Transfer Acoustic convient pour </w:t>
      </w:r>
      <w:r>
        <w:t xml:space="preserve">des débits d’air</w:t>
      </w:r>
      <w:r>
        <w:rPr>
          <w:color w:val="000000"/>
          <w:sz w:val="23"/>
        </w:rPr>
        <w:t xml:space="preserve"> entre les espaces intérieurs, mais peut également être utilisé entre les espaces intérieurs et extérieurs (portes extérieures, par exemple). Grâce aux lames acoustiques, le son est fortement atténué.</w:t>
      </w:r>
    </w:p>
    <w:p w14:paraId="6971D539" w14:textId="77777777">
      <w:pPr>
        <w:pStyle w:val="Geenafstand"/>
        <w:rPr>
          <w:rFonts w:asciiTheme="minorHAnsi" w:hAnsiTheme="minorHAnsi" w:cstheme="minorHAnsi"/>
        </w:rPr>
      </w:pPr>
    </w:p>
    <w:p w14:paraId="4F0DE551" w14:textId="77777777">
      <w:pPr>
        <w:pStyle w:val="P68B1DB1-Kop24"/>
        <w:rPr>
          <w:rFonts w:asciiTheme="minorHAnsi" w:hAnsiTheme="minorHAnsi" w:cstheme="minorHAnsi"/>
        </w:rPr>
      </w:pPr>
      <w:r>
        <w:t xml:space="preserve">Caractéristiques :</w:t>
      </w:r>
    </w:p>
    <w:p w14:paraId="56906570" w14:textId="5B5D0829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Pas de lame : 35 mm</w:t>
      </w:r>
    </w:p>
    <w:p w14:paraId="46F29E73" w14:textId="1B0EF4D3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Cotes d'encastrement : 28 - 84 mm</w:t>
      </w:r>
    </w:p>
    <w:p w14:paraId="7C83D4E6" w14:textId="527B31F6">
      <w:pPr>
        <w:pStyle w:val="P68B1DB1-Default6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>
        <w:t xml:space="preserve">Largeur : </w:t>
        <w:tab/>
        <w:t xml:space="preserve">Largeur minimale sans contre-châssis 245 mm</w:t>
      </w:r>
    </w:p>
    <w:p w14:paraId="39434AD7" w14:textId="5406CC70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Largeur minimale avec contre-châssis 255 mm</w:t>
      </w:r>
    </w:p>
    <w:p w14:paraId="050F923E" w14:textId="672D0361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Largeur maximale sans contre-châssis 800 mm</w:t>
      </w:r>
    </w:p>
    <w:p w14:paraId="44E7895D" w14:textId="509E4BBA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Largeur maximale avec contre-châssis 810 mm</w:t>
      </w:r>
    </w:p>
    <w:p w14:paraId="63CC0718" w14:textId="545BF413">
      <w:pPr>
        <w:pStyle w:val="P68B1DB1-Default6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>
        <w:t xml:space="preserve">Hauteur : </w:t>
        <w:tab/>
        <w:t xml:space="preserve">Hauteur minimale sans contre-châssis 115 mm</w:t>
      </w:r>
    </w:p>
    <w:p w14:paraId="72AC9424" w14:textId="6D880547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Hauteur minimale avec contre-châssis 125 mm</w:t>
      </w:r>
    </w:p>
    <w:p w14:paraId="163F6304" w14:textId="3E1723AC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Hauteur maximale sans contre-châssis 535 mm</w:t>
      </w:r>
    </w:p>
    <w:p w14:paraId="18C04C9D" w14:textId="1E7ACF41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Hauteur maximale avec contre-châssis 545 mm</w:t>
      </w:r>
    </w:p>
    <w:p w14:paraId="20CA3448" w14:textId="6893571D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Surface visuelle libre : 27 %</w:t>
      </w:r>
    </w:p>
    <w:p w14:paraId="0844672E" w14:textId="7781E98B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Surface physique libre : 18 %</w:t>
      </w:r>
    </w:p>
    <w:p w14:paraId="43370BF4" w14:textId="77777777">
      <w:pPr>
        <w:pStyle w:val="Geenafstand"/>
        <w:ind w:left="720"/>
        <w:rPr>
          <w:rFonts w:asciiTheme="minorHAnsi" w:hAnsiTheme="minorHAnsi" w:cstheme="minorHAnsi"/>
        </w:rPr>
      </w:pPr>
    </w:p>
    <w:p w14:paraId="6F009C5E" w14:textId="77777777">
      <w:pPr>
        <w:pStyle w:val="P68B1DB1-Kop24"/>
        <w:rPr>
          <w:rFonts w:asciiTheme="minorHAnsi" w:hAnsiTheme="minorHAnsi" w:cstheme="minorHAnsi"/>
        </w:rPr>
      </w:pPr>
      <w:r>
        <w:t xml:space="preserve">Traitement de surface :</w:t>
      </w:r>
    </w:p>
    <w:p w14:paraId="745810FE" w14:textId="17EC7E84">
      <w:pPr>
        <w:pStyle w:val="P68B1DB1-Geenafstand5"/>
        <w:numPr>
          <w:ilvl w:val="0"/>
          <w:numId w:val="16"/>
        </w:numPr>
        <w:rPr>
          <w:rFonts w:asciiTheme="minorHAnsi" w:hAnsiTheme="minorHAnsi" w:cstheme="minorHAnsi" w:eastAsiaTheme="minorHAnsi"/>
          <w:color w:val="000000"/>
        </w:rPr>
      </w:pPr>
      <w:r>
        <w:t xml:space="preserve">Revêtement en poudre : selon Qualicoat Seaside type A, épaisseur de couche moyenne minimale 60 µm, couleurs RAL standard</w:t>
      </w:r>
    </w:p>
    <w:p w14:paraId="7190DF80" w14:textId="3EED3D9E">
      <w:pPr>
        <w:pStyle w:val="P68B1DB1-Geenafstand5"/>
        <w:ind w:left="360" w:right="-1"/>
        <w:rPr>
          <w:rFonts w:asciiTheme="minorHAnsi" w:hAnsiTheme="minorHAnsi" w:cstheme="minorHAnsi"/>
        </w:rPr>
      </w:pPr>
      <w:r>
        <w:t xml:space="preserve">Sur demande : autres épaisseurs de couche de finition, degrés de brillance, peintures texturées et références spécifiques de poudre de peinture</w:t>
      </w:r>
    </w:p>
    <w:p w14:paraId="5DDB1BD2" w14:textId="77777777">
      <w:pPr>
        <w:pStyle w:val="Geenafstand"/>
        <w:rPr>
          <w:rFonts w:asciiTheme="minorHAnsi" w:hAnsiTheme="minorHAnsi" w:cstheme="minorHAnsi"/>
          <w:highlight w:val="yellow"/>
        </w:rPr>
      </w:pPr>
    </w:p>
    <w:p w14:paraId="39C73DE7" w14:textId="77777777">
      <w:pPr>
        <w:pStyle w:val="P68B1DB1-Kop24"/>
        <w:rPr>
          <w:rFonts w:asciiTheme="minorHAnsi" w:hAnsiTheme="minorHAnsi" w:cstheme="minorHAnsi"/>
        </w:rPr>
      </w:pPr>
      <w:r>
        <w:t xml:space="preserve">Caractéristiques fonctionnelles :</w:t>
      </w:r>
    </w:p>
    <w:p w14:paraId="2B9E8F00" w14:textId="77777777">
      <w:pPr>
        <w:pStyle w:val="P68B1DB1-Kop37"/>
        <w:numPr>
          <w:ilvl w:val="0"/>
          <w:numId w:val="17"/>
        </w:numPr>
        <w:rPr>
          <w:rFonts w:asciiTheme="minorHAnsi" w:hAnsiTheme="minorHAnsi" w:cstheme="minorHAnsi"/>
        </w:rPr>
      </w:pPr>
      <w:r>
        <w:t xml:space="preserve">Débit :</w:t>
      </w:r>
    </w:p>
    <w:p w14:paraId="7CE0C2CC" w14:textId="7634091D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Facteur K - entrée d'air : 145,2</w:t>
      </w:r>
    </w:p>
    <w:p w14:paraId="559DF71B" w14:textId="55FCA6BE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Facteur K - extraction : 148,7</w:t>
      </w:r>
    </w:p>
    <w:p w14:paraId="281DAF56" w14:textId="15A76E35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0,083</w:t>
      </w:r>
    </w:p>
    <w:p w14:paraId="15DC38A2" w14:textId="42DD2705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0,082</w:t>
      </w:r>
    </w:p>
    <w:p w14:paraId="6195A187" w14:textId="77777777">
      <w:pPr>
        <w:pStyle w:val="Geenafstand"/>
        <w:rPr>
          <w:rFonts w:cs="Tahoma"/>
        </w:rPr>
      </w:pPr>
    </w:p>
    <w:p w14:paraId="4462ABBB" w14:textId="77777777">
      <w:pPr>
        <w:pStyle w:val="Kop3"/>
        <w:numPr>
          <w:ilvl w:val="0"/>
          <w:numId w:val="17"/>
        </w:numPr>
      </w:pPr>
      <w:r>
        <w:t xml:space="preserve">Etanchéité à l'eau :</w:t>
      </w:r>
    </w:p>
    <w:p w14:paraId="18631029" w14:textId="4EBAE6A9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2B6FA599" w14:textId="0A0374E7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0,5m/s : classe A</w:t>
      </w:r>
    </w:p>
    <w:p w14:paraId="7530BAF7" w14:textId="77777777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69819482" w14:textId="76E5F2C6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2B2B25F4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315BDC9B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2C2AED6B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05E2E3D0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45B81A7E" w14:textId="7FEBBDC1">
      <w:pPr>
        <w:spacing w:after="200" w:line="276" w:lineRule="auto"/>
        <w:rPr>
          <w:rFonts w:cstheme="minorHAnsi" w:eastAsia="Calibri"/>
          <w:sz w:val="22"/>
        </w:rPr>
      </w:pPr>
    </w:p>
    <w:p w14:paraId="3083BA48" w14:textId="77777777">
      <w:pPr>
        <w:pStyle w:val="P68B1DB1-Kop37"/>
        <w:numPr>
          <w:ilvl w:val="0"/>
          <w:numId w:val="19"/>
        </w:numPr>
        <w:rPr>
          <w:rFonts w:asciiTheme="minorHAnsi" w:hAnsiTheme="minorHAnsi" w:cstheme="minorHAnsi"/>
        </w:rPr>
      </w:pPr>
      <w:r>
        <w:t xml:space="preserve">Valeur d'amortissement</w:t>
      </w:r>
    </w:p>
    <w:p w14:paraId="1A8F9D7D" w14:textId="02BA2827">
      <w:pPr>
        <w:autoSpaceDE w:val="0"/>
        <w:autoSpaceDN w:val="0"/>
        <w:adjustRightInd w:val="0"/>
        <w:rPr>
          <w:rFonts w:cstheme="minorHAnsi" w:eastAsiaTheme="minorHAnsi"/>
          <w:b/>
          <w:color w:val="000000"/>
          <w:sz w:val="22"/>
        </w:rPr>
        <w:pStyle w:val="P68B1DB1-Standaard9"/>
      </w:pPr>
      <w:r>
        <w:t xml:space="preserve">DucoGrille Transfer Acoustic 245 x 115 </w:t>
      </w:r>
    </w:p>
    <w:tbl>
      <w:tblPr>
        <w:tblW w:w="106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737"/>
      </w:tblGrid>
      <w:tr w14:paraId="7369D9FC" w14:textId="77777777">
        <w:trPr>
          <w:trHeight w:val="110"/>
        </w:trPr>
        <w:tc>
          <w:tcPr>
            <w:tcW w:w="3936" w:type="dxa"/>
          </w:tcPr>
          <w:p w14:paraId="12998A79" w14:textId="75DD3DA2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2761F111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13 ( -1;-2) dB</w:t>
            </w:r>
          </w:p>
        </w:tc>
      </w:tr>
      <w:tr w14:paraId="0BD576F5" w14:textId="77777777">
        <w:trPr>
          <w:trHeight w:val="110"/>
        </w:trPr>
        <w:tc>
          <w:tcPr>
            <w:tcW w:w="3936" w:type="dxa"/>
          </w:tcPr>
          <w:p w14:paraId="3EDC9D52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308C2789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33 ( -1;-2) dB</w:t>
            </w:r>
          </w:p>
        </w:tc>
      </w:tr>
      <w:tr w14:paraId="1B06BD21" w14:textId="77777777">
        <w:trPr>
          <w:trHeight w:val="110"/>
        </w:trPr>
        <w:tc>
          <w:tcPr>
            <w:tcW w:w="3936" w:type="dxa"/>
          </w:tcPr>
          <w:p w14:paraId="02EC0F17" w14:textId="6135C06E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b/>
                <w:color w:val="000000"/>
                <w:sz w:val="22"/>
              </w:rPr>
              <w:pStyle w:val="P68B1DB1-Standaard9"/>
            </w:pPr>
            <w:r>
              <w:t xml:space="preserve">DucoGrille Transfer Acoustic 320 x 220</w:t>
            </w:r>
          </w:p>
        </w:tc>
        <w:tc>
          <w:tcPr>
            <w:tcW w:w="6737" w:type="dxa"/>
          </w:tcPr>
          <w:p w14:paraId="350BA6B2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</w:pPr>
          </w:p>
        </w:tc>
      </w:tr>
      <w:tr w14:paraId="62A0500C" w14:textId="77777777">
        <w:trPr>
          <w:trHeight w:val="110"/>
        </w:trPr>
        <w:tc>
          <w:tcPr>
            <w:tcW w:w="3936" w:type="dxa"/>
          </w:tcPr>
          <w:p w14:paraId="174153B9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403594F5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9 ( 0;-1) dB</w:t>
            </w:r>
          </w:p>
        </w:tc>
      </w:tr>
      <w:tr w14:paraId="408B96D8" w14:textId="77777777">
        <w:trPr>
          <w:trHeight w:val="110"/>
        </w:trPr>
        <w:tc>
          <w:tcPr>
            <w:tcW w:w="3936" w:type="dxa"/>
          </w:tcPr>
          <w:p w14:paraId="3B2BBC6B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17E82978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29 ( 0;-1) dB</w:t>
            </w:r>
          </w:p>
        </w:tc>
      </w:tr>
      <w:tr w14:paraId="6D367CB3" w14:textId="77777777">
        <w:trPr>
          <w:trHeight w:val="110"/>
        </w:trPr>
        <w:tc>
          <w:tcPr>
            <w:tcW w:w="3936" w:type="dxa"/>
          </w:tcPr>
          <w:p w14:paraId="593F29A9" w14:textId="2A0A6660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b/>
                <w:color w:val="000000"/>
                <w:sz w:val="22"/>
              </w:rPr>
              <w:pStyle w:val="P68B1DB1-Standaard9"/>
            </w:pPr>
            <w:r>
              <w:t xml:space="preserve">DucoGrille Transfer Acoustic 440 x 325</w:t>
            </w:r>
          </w:p>
        </w:tc>
        <w:tc>
          <w:tcPr>
            <w:tcW w:w="6737" w:type="dxa"/>
          </w:tcPr>
          <w:p w14:paraId="672E105C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</w:pPr>
          </w:p>
        </w:tc>
      </w:tr>
      <w:tr w14:paraId="0172C775" w14:textId="77777777">
        <w:trPr>
          <w:trHeight w:val="110"/>
        </w:trPr>
        <w:tc>
          <w:tcPr>
            <w:tcW w:w="3936" w:type="dxa"/>
          </w:tcPr>
          <w:p w14:paraId="4626A36D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535866F6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6 ( 0;-1) dB</w:t>
            </w:r>
          </w:p>
        </w:tc>
      </w:tr>
      <w:tr w14:paraId="711CEF38" w14:textId="77777777">
        <w:trPr>
          <w:trHeight w:val="110"/>
        </w:trPr>
        <w:tc>
          <w:tcPr>
            <w:tcW w:w="3936" w:type="dxa"/>
          </w:tcPr>
          <w:p w14:paraId="2B5A900C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4C54ED35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25 ( 0;-1) dB</w:t>
            </w:r>
          </w:p>
        </w:tc>
      </w:tr>
      <w:tr w14:paraId="6E52DCCD" w14:textId="77777777">
        <w:trPr>
          <w:trHeight w:val="110"/>
        </w:trPr>
        <w:tc>
          <w:tcPr>
            <w:tcW w:w="3936" w:type="dxa"/>
          </w:tcPr>
          <w:p w14:paraId="6F915E01" w14:textId="7F086189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b/>
                <w:color w:val="000000"/>
                <w:sz w:val="22"/>
              </w:rPr>
              <w:pStyle w:val="P68B1DB1-Standaard9"/>
            </w:pPr>
            <w:r>
              <w:t xml:space="preserve">DucoGrille Transfer Acoustic 440 x 430</w:t>
            </w:r>
          </w:p>
        </w:tc>
        <w:tc>
          <w:tcPr>
            <w:tcW w:w="6737" w:type="dxa"/>
          </w:tcPr>
          <w:p w14:paraId="36D040CE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</w:pPr>
          </w:p>
        </w:tc>
      </w:tr>
      <w:tr w14:paraId="3059C150" w14:textId="77777777">
        <w:trPr>
          <w:trHeight w:val="110"/>
        </w:trPr>
        <w:tc>
          <w:tcPr>
            <w:tcW w:w="3936" w:type="dxa"/>
          </w:tcPr>
          <w:p w14:paraId="7E121B25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17A8588C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7 ( 0;-1) dB</w:t>
            </w:r>
          </w:p>
        </w:tc>
      </w:tr>
      <w:tr w14:paraId="1613745B" w14:textId="77777777">
        <w:trPr>
          <w:trHeight w:val="110"/>
        </w:trPr>
        <w:tc>
          <w:tcPr>
            <w:tcW w:w="3936" w:type="dxa"/>
          </w:tcPr>
          <w:p w14:paraId="7E59D45A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57348D09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24 ( 0;-1) dB</w:t>
            </w:r>
          </w:p>
        </w:tc>
      </w:tr>
      <w:tr w14:paraId="04AC38BB" w14:textId="77777777">
        <w:trPr>
          <w:trHeight w:val="110"/>
        </w:trPr>
        <w:tc>
          <w:tcPr>
            <w:tcW w:w="3936" w:type="dxa"/>
          </w:tcPr>
          <w:p w14:paraId="1EE436A3" w14:textId="1EE3D484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b/>
                <w:color w:val="000000"/>
                <w:sz w:val="22"/>
              </w:rPr>
              <w:pStyle w:val="P68B1DB1-Standaard9"/>
            </w:pPr>
            <w:r>
              <w:t xml:space="preserve">DucoGrille Transfer Acoustic 765 x 535</w:t>
            </w:r>
          </w:p>
        </w:tc>
        <w:tc>
          <w:tcPr>
            <w:tcW w:w="6737" w:type="dxa"/>
          </w:tcPr>
          <w:p w14:paraId="3410D445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</w:pPr>
          </w:p>
        </w:tc>
      </w:tr>
      <w:tr w14:paraId="46E2AE74" w14:textId="77777777">
        <w:trPr>
          <w:trHeight w:val="110"/>
        </w:trPr>
        <w:tc>
          <w:tcPr>
            <w:tcW w:w="3936" w:type="dxa"/>
          </w:tcPr>
          <w:p w14:paraId="0363719F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R</w:t>
            </w:r>
            <w:r>
              <w:rPr>
                <w:vertAlign w:val="subscript"/>
              </w:rPr>
              <w:t>w</w:t>
            </w:r>
            <w:r>
              <w:t xml:space="preserve"> 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190A9AD5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7 ( 0;-1) dB</w:t>
            </w:r>
          </w:p>
        </w:tc>
      </w:tr>
      <w:tr w14:paraId="7905E7F8" w14:textId="77777777">
        <w:trPr>
          <w:trHeight w:val="110"/>
        </w:trPr>
        <w:tc>
          <w:tcPr>
            <w:tcW w:w="3936" w:type="dxa"/>
          </w:tcPr>
          <w:p w14:paraId="014B6027" w14:textId="77777777">
            <w:pPr>
              <w:autoSpaceDE w:val="0"/>
              <w:autoSpaceDN w:val="0"/>
              <w:adjustRightInd w:val="0"/>
              <w:ind w:right="-528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>D</w:t>
            </w:r>
            <w:r>
              <w:rPr>
                <w:vertAlign w:val="subscript"/>
              </w:rPr>
              <w:t xml:space="preserve">n,e,w </w:t>
            </w:r>
            <w:r>
              <w:t>(C;C</w:t>
            </w:r>
            <w:r>
              <w:rPr>
                <w:vertAlign w:val="subscript"/>
              </w:rPr>
              <w:t>tr</w:t>
            </w:r>
            <w:r>
              <w:t>):</w:t>
            </w:r>
          </w:p>
        </w:tc>
        <w:tc>
          <w:tcPr>
            <w:tcW w:w="6737" w:type="dxa"/>
          </w:tcPr>
          <w:p w14:paraId="43B45AA3" w14:textId="77777777">
            <w:pPr>
              <w:autoSpaceDE w:val="0"/>
              <w:autoSpaceDN w:val="0"/>
              <w:adjustRightInd w:val="0"/>
              <w:rPr>
                <w:rFonts w:cstheme="minorHAnsi" w:eastAsiaTheme="minorHAnsi"/>
                <w:color w:val="000000"/>
                <w:sz w:val="22"/>
              </w:rPr>
              <w:pStyle w:val="P68B1DB1-Standaard10"/>
            </w:pPr>
            <w:r>
              <w:t xml:space="preserve">21 ( 0;-1) dB</w:t>
            </w:r>
          </w:p>
        </w:tc>
      </w:tr>
    </w:tbl>
    <w:p w14:paraId="0A05A602" w14:textId="69AAF246">
      <w:pPr>
        <w:spacing w:after="200" w:line="276" w:lineRule="auto"/>
        <w:rPr>
          <w:rFonts w:cstheme="minorHAnsi" w:eastAsiaTheme="majorEastAsia"/>
          <w:b/>
          <w:color w:val="43B02A"/>
          <w:u w:val="single"/>
        </w:rPr>
      </w:pPr>
    </w:p>
    <w:p w14:paraId="15BE4E81" w14:textId="77777777">
      <w:pPr>
        <w:pStyle w:val="P68B1DB1-Kop24"/>
        <w:rPr>
          <w:rFonts w:asciiTheme="minorHAnsi" w:hAnsiTheme="minorHAnsi" w:cstheme="minorHAnsi"/>
        </w:rPr>
      </w:pPr>
      <w:r>
        <w:t xml:space="preserve">Conforme ou testé selon les normes :</w:t>
      </w:r>
    </w:p>
    <w:p w14:paraId="40D6720C" w14:textId="083EC4BF">
      <w:pPr>
        <w:pStyle w:val="P68B1DB1-bestektekst11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>
        <w:t xml:space="preserve">Qualicoat Seaside type A</w:t>
      </w:r>
    </w:p>
    <w:p w14:paraId="620AA36D" w14:textId="6B0E75C7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573 - EN AW-6063 T66 et EN AW-6060 T66 : alliage d'aluminium et trempe</w:t>
      </w:r>
    </w:p>
    <w:p w14:paraId="4D2C70A0" w14:textId="24C93B72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13030 : étanchéité à l'eau et détermination des coefficients Ce et Cd</w:t>
      </w:r>
    </w:p>
    <w:p w14:paraId="3CE996C6" w14:textId="56FA4A79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ISO 10140 : mesures acoustiques (pour les produits acoustiques)</w:t>
      </w:r>
    </w:p>
    <w:p w14:paraId="347D7C7D" w14:textId="77777777">
      <w:pPr>
        <w:pStyle w:val="Geenafstand"/>
        <w:rPr>
          <w:rFonts w:asciiTheme="minorHAnsi" w:hAnsiTheme="minorHAnsi" w:cstheme="minorHAnsi"/>
        </w:rPr>
      </w:pPr>
    </w:p>
    <w:p w14:paraId="67778EF1" w14:textId="32BEBFCB">
      <w:pPr>
        <w:pStyle w:val="P68B1DB1-Geenafstand5"/>
        <w:jc w:val="center"/>
        <w:rPr>
          <w:rFonts w:asciiTheme="minorHAnsi" w:hAnsiTheme="minorHAnsi" w:cstheme="minorHAnsi"/>
        </w:rPr>
      </w:pPr>
      <w:r>
        <w:drawing>
          <wp:inline distT="0" distB="0" distL="0" distR="0" wp14:anchorId="5AD08CDC" wp14:editId="4845017F">
            <wp:extent cx="3286125" cy="28476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3585" cy="28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3EB6" w14:textId="77777777">
      <w:r>
        <w:separator/>
      </w:r>
    </w:p>
  </w:endnote>
  <w:endnote w:type="continuationSeparator" w:id="0">
    <w:p w14:paraId="39C3B4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034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2D9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1D4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A219" w14:textId="77777777">
      <w:r>
        <w:separator/>
      </w:r>
    </w:p>
  </w:footnote>
  <w:footnote w:type="continuationSeparator" w:id="0">
    <w:p w14:paraId="3C4402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CAEC" w14:textId="77777777">
    <w:pPr>
      <w:pStyle w:val="Koptekst"/>
    </w:pPr>
    <w:r>
      <w:pict w14:anchorId="3F3FFFF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786C" w14:textId="77777777">
    <w:pPr>
      <w:pStyle w:val="Koptekst"/>
    </w:pPr>
    <w:r>
      <w:pict w14:anchorId="154B6E2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19B1" w14:textId="77777777">
    <w:pPr>
      <w:pStyle w:val="Koptekst"/>
    </w:pPr>
    <w:r>
      <w:pict w14:anchorId="09CD128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FC60840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E7CC07B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2208475">
    <w:abstractNumId w:val="19"/>
  </w:num>
  <w:num w:numId="2" w16cid:durableId="331185013">
    <w:abstractNumId w:val="15"/>
  </w:num>
  <w:num w:numId="3" w16cid:durableId="2072387383">
    <w:abstractNumId w:val="10"/>
  </w:num>
  <w:num w:numId="4" w16cid:durableId="1434403044">
    <w:abstractNumId w:val="6"/>
  </w:num>
  <w:num w:numId="5" w16cid:durableId="853959137">
    <w:abstractNumId w:val="5"/>
  </w:num>
  <w:num w:numId="6" w16cid:durableId="1021056116">
    <w:abstractNumId w:val="9"/>
  </w:num>
  <w:num w:numId="7" w16cid:durableId="1218784510">
    <w:abstractNumId w:val="4"/>
  </w:num>
  <w:num w:numId="8" w16cid:durableId="1628970926">
    <w:abstractNumId w:val="3"/>
  </w:num>
  <w:num w:numId="9" w16cid:durableId="1456872066">
    <w:abstractNumId w:val="2"/>
  </w:num>
  <w:num w:numId="10" w16cid:durableId="353326">
    <w:abstractNumId w:val="1"/>
  </w:num>
  <w:num w:numId="11" w16cid:durableId="1732532105">
    <w:abstractNumId w:val="0"/>
  </w:num>
  <w:num w:numId="12" w16cid:durableId="780999638">
    <w:abstractNumId w:val="7"/>
  </w:num>
  <w:num w:numId="13" w16cid:durableId="2050564720">
    <w:abstractNumId w:val="8"/>
  </w:num>
  <w:num w:numId="14" w16cid:durableId="470249952">
    <w:abstractNumId w:val="18"/>
  </w:num>
  <w:num w:numId="15" w16cid:durableId="214395458">
    <w:abstractNumId w:val="11"/>
  </w:num>
  <w:num w:numId="16" w16cid:durableId="738097262">
    <w:abstractNumId w:val="17"/>
  </w:num>
  <w:num w:numId="17" w16cid:durableId="1377508913">
    <w:abstractNumId w:val="13"/>
  </w:num>
  <w:num w:numId="18" w16cid:durableId="1613976821">
    <w:abstractNumId w:val="16"/>
  </w:num>
  <w:num w:numId="19" w16cid:durableId="1155804458">
    <w:abstractNumId w:val="12"/>
  </w:num>
  <w:num w:numId="20" w16cid:durableId="1203132170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0C8A"/>
    <w:rsid w:val="00013FD5"/>
    <w:rsid w:val="000974F5"/>
    <w:rsid w:val="000A4893"/>
    <w:rsid w:val="000B45E7"/>
    <w:rsid w:val="000C339E"/>
    <w:rsid w:val="000D4094"/>
    <w:rsid w:val="001470E4"/>
    <w:rsid w:val="00153EEE"/>
    <w:rsid w:val="0016107C"/>
    <w:rsid w:val="001670F4"/>
    <w:rsid w:val="001C548A"/>
    <w:rsid w:val="002047D0"/>
    <w:rsid w:val="00222F29"/>
    <w:rsid w:val="00223D90"/>
    <w:rsid w:val="00227108"/>
    <w:rsid w:val="002A46E2"/>
    <w:rsid w:val="002D28BD"/>
    <w:rsid w:val="002D4220"/>
    <w:rsid w:val="002F4432"/>
    <w:rsid w:val="00315892"/>
    <w:rsid w:val="003214E7"/>
    <w:rsid w:val="00393524"/>
    <w:rsid w:val="003C3476"/>
    <w:rsid w:val="003E502D"/>
    <w:rsid w:val="004772FD"/>
    <w:rsid w:val="00485348"/>
    <w:rsid w:val="004929D2"/>
    <w:rsid w:val="004A6709"/>
    <w:rsid w:val="004B10FD"/>
    <w:rsid w:val="004C7F31"/>
    <w:rsid w:val="004D36D6"/>
    <w:rsid w:val="004E6DC2"/>
    <w:rsid w:val="00515344"/>
    <w:rsid w:val="00522424"/>
    <w:rsid w:val="00527056"/>
    <w:rsid w:val="0054112F"/>
    <w:rsid w:val="00584936"/>
    <w:rsid w:val="00592CD5"/>
    <w:rsid w:val="0059355D"/>
    <w:rsid w:val="005A1F6F"/>
    <w:rsid w:val="005F05CA"/>
    <w:rsid w:val="006254CA"/>
    <w:rsid w:val="00632DD0"/>
    <w:rsid w:val="006752D5"/>
    <w:rsid w:val="006B03E9"/>
    <w:rsid w:val="006C3D0E"/>
    <w:rsid w:val="00737673"/>
    <w:rsid w:val="007407D0"/>
    <w:rsid w:val="007577C5"/>
    <w:rsid w:val="00787799"/>
    <w:rsid w:val="007A06F7"/>
    <w:rsid w:val="007B4030"/>
    <w:rsid w:val="007B4D71"/>
    <w:rsid w:val="007C43E2"/>
    <w:rsid w:val="007D5206"/>
    <w:rsid w:val="00816D7F"/>
    <w:rsid w:val="008D1CFA"/>
    <w:rsid w:val="008F1E18"/>
    <w:rsid w:val="00966675"/>
    <w:rsid w:val="009A17EA"/>
    <w:rsid w:val="009A621A"/>
    <w:rsid w:val="009F7E50"/>
    <w:rsid w:val="00A05C64"/>
    <w:rsid w:val="00A231A8"/>
    <w:rsid w:val="00A85382"/>
    <w:rsid w:val="00B10DC4"/>
    <w:rsid w:val="00B20205"/>
    <w:rsid w:val="00B21D6F"/>
    <w:rsid w:val="00B33D5D"/>
    <w:rsid w:val="00BC2A15"/>
    <w:rsid w:val="00C11DFF"/>
    <w:rsid w:val="00C24E33"/>
    <w:rsid w:val="00C834E5"/>
    <w:rsid w:val="00CA691B"/>
    <w:rsid w:val="00CB5A3D"/>
    <w:rsid w:val="00CF413A"/>
    <w:rsid w:val="00D0178E"/>
    <w:rsid w:val="00D34B9C"/>
    <w:rsid w:val="00D44C0E"/>
    <w:rsid w:val="00D56D87"/>
    <w:rsid w:val="00D64E46"/>
    <w:rsid w:val="00D73F0F"/>
    <w:rsid w:val="00DA7063"/>
    <w:rsid w:val="00DD4C07"/>
    <w:rsid w:val="00E501E2"/>
    <w:rsid w:val="00E545C3"/>
    <w:rsid w:val="00E623A1"/>
    <w:rsid w:val="00E81B2C"/>
    <w:rsid w:val="00E83F07"/>
    <w:rsid w:val="00EB52A9"/>
    <w:rsid w:val="00ED2E1C"/>
    <w:rsid w:val="00F01670"/>
    <w:rsid w:val="00F12C0E"/>
    <w:rsid w:val="00F15A8B"/>
    <w:rsid w:val="00F61016"/>
    <w:rsid w:val="00FA6FBD"/>
    <w:rsid w:val="0EA2A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19BC92"/>
  <w15:docId w15:val="{099D2C65-DA30-4B34-BF38-85747A5C94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character" w:styleId="Zwaar">
    <w:name w:val="Strong"/>
    <w:basedOn w:val="Standaardalinea-lettertype"/>
    <w:uiPriority w:val="22"/>
    <w:qFormat/>
    <w:rsid w:val="00223D90"/>
    <w:rPr>
      <w:b/>
    </w:rPr>
  </w:style>
  <w:style w:type="paragraph" w:styleId="Default" w:customStyle="1">
    <w:name w:val="Default"/>
    <w:rsid w:val="00527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paragraph" w:styleId="P68B1DB1-Kop11">
    <w:name w:val="P68B1DB1-Kop11"/>
    <w:basedOn w:val="Kop1"/>
    <w:rPr>
      <w:rFonts w:asciiTheme="minorHAnsi" w:hAnsiTheme="minorHAnsi" w:cstheme="minorHAnsi"/>
    </w:rPr>
  </w:style>
  <w:style w:type="paragraph" w:styleId="P68B1DB1-Geenafstand2">
    <w:name w:val="P68B1DB1-Geenafstand2"/>
    <w:basedOn w:val="Geenafstand"/>
    <w:rPr>
      <w:rFonts w:ascii="Calibri" w:asciiTheme="minorAscii" w:hAnsi="Calibri" w:hAnsiTheme="minorAscii" w:cs="Calibri" w:cstheme="minorAsci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asciiTheme="minorHAnsi" w:hAnsiTheme="minorHAnsi" w:cstheme="minorHAnsi"/>
      <w:shd w:val="clear" w:color="auto" w:fill="FFFFFF"/>
    </w:rPr>
  </w:style>
  <w:style w:type="paragraph" w:styleId="P68B1DB1-Kop24">
    <w:name w:val="P68B1DB1-Kop24"/>
    <w:basedOn w:val="Kop2"/>
    <w:rPr>
      <w:rFonts w:asciiTheme="minorHAnsi" w:hAnsiTheme="minorHAnsi" w:cstheme="minorHAnsi"/>
    </w:rPr>
  </w:style>
  <w:style w:type="paragraph" w:styleId="P68B1DB1-Geenafstand5">
    <w:name w:val="P68B1DB1-Geenafstand5"/>
    <w:basedOn w:val="Geenafstand"/>
    <w:rPr>
      <w:rFonts w:asciiTheme="minorHAnsi" w:hAnsiTheme="minorHAnsi" w:cstheme="minorHAnsi"/>
    </w:rPr>
  </w:style>
  <w:style w:type="paragraph" w:styleId="P68B1DB1-Default6">
    <w:name w:val="P68B1DB1-Default6"/>
    <w:basedOn w:val="Default"/>
    <w:rPr>
      <w:rFonts w:asciiTheme="minorHAnsi" w:hAnsiTheme="minorHAnsi" w:cstheme="minorHAnsi"/>
      <w:sz w:val="22"/>
    </w:rPr>
  </w:style>
  <w:style w:type="paragraph" w:styleId="P68B1DB1-Kop37">
    <w:name w:val="P68B1DB1-Kop37"/>
    <w:basedOn w:val="Kop3"/>
    <w:rPr>
      <w:rFonts w:asciiTheme="minorHAnsi" w:hAnsiTheme="minorHAnsi" w:cstheme="minorHAnsi"/>
    </w:rPr>
  </w:style>
  <w:style w:type="paragraph" w:styleId="P68B1DB1-Geenafstand8">
    <w:name w:val="P68B1DB1-Geenafstand8"/>
    <w:basedOn w:val="Geenafstand"/>
    <w:rPr>
      <w:rFonts w:cs="Tahoma"/>
    </w:rPr>
  </w:style>
  <w:style w:type="paragraph" w:styleId="P68B1DB1-Standaard9">
    <w:name w:val="P68B1DB1-Standaard9"/>
    <w:basedOn w:val="Standaard"/>
    <w:rPr>
      <w:rFonts w:cstheme="minorHAnsi" w:eastAsiaTheme="minorHAnsi"/>
      <w:b/>
      <w:color w:val="000000"/>
      <w:sz w:val="22"/>
    </w:rPr>
  </w:style>
  <w:style w:type="paragraph" w:styleId="P68B1DB1-Standaard10">
    <w:name w:val="P68B1DB1-Standaard10"/>
    <w:basedOn w:val="Standaard"/>
    <w:rPr>
      <w:rFonts w:cstheme="minorHAnsi" w:eastAsiaTheme="minorHAnsi"/>
      <w:color w:val="000000"/>
      <w:sz w:val="22"/>
    </w:rPr>
  </w:style>
  <w:style w:type="paragraph" w:styleId="P68B1DB1-bestektekst11">
    <w:name w:val="P68B1DB1-bestektekst11"/>
    <w:basedOn w:val="bestektekst"/>
    <w:rPr>
      <w:rFonts w:asciiTheme="minorHAnsi" w:hAnsiTheme="minorHAnsi" w:cs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B2C9D-1347-4FD2-A780-44743D3E9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8329E4-259C-4584-8621-E4061ECD1DFF}"/>
</file>

<file path=customXml/itemProps3.xml><?xml version="1.0" encoding="utf-8"?>
<ds:datastoreItem xmlns:ds="http://schemas.openxmlformats.org/officeDocument/2006/customXml" ds:itemID="{6B27031F-A55B-4916-A2BB-F634432A2E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</dc:creator>
  <cp:lastModifiedBy>Geert Louwyck</cp:lastModifiedBy>
  <cp:revision>17</cp:revision>
  <cp:lastPrinted>2016-09-29T11:57:00Z</cp:lastPrinted>
  <dcterms:created xsi:type="dcterms:W3CDTF">2021-01-26T15:18:00Z</dcterms:created>
  <dcterms:modified xsi:type="dcterms:W3CDTF">2022-11-08T08:38:30Z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