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1DB1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Cloisons à lamelles DucoWall Classic W 50/75Z</w:t>
      </w:r>
    </w:p>
    <w:p w14:paraId="5F01B67D" w14:textId="77777777">
      <w:pPr>
        <w:pStyle w:val="Geenafstand"/>
        <w:jc w:val="center"/>
      </w:pPr>
    </w:p>
    <w:p w14:paraId="5FC2B32C" w14:textId="03722E10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4B609B84" w14:textId="06B962B1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50/75Z est un bardage à ventelles filantes qui peut être fixé à une construction porteuse. Le système « glisser-cliquer » permet un montage rapide et simple. La lame en « Z » procure un design épuré.</w:t>
      </w:r>
    </w:p>
    <w:p w14:paraId="543AEC72" w14:textId="77777777">
      <w:pPr>
        <w:pStyle w:val="Geenafstand"/>
      </w:pPr>
    </w:p>
    <w:p w14:paraId="738DB4EA" w14:textId="77777777">
      <w:pPr>
        <w:pStyle w:val="Kop2"/>
      </w:pPr>
      <w:r>
        <w:t xml:space="preserve">Caractéristiques :</w:t>
      </w:r>
    </w:p>
    <w:p w14:paraId="1E627D9B" w14:textId="4E5DCCF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Lamelles :</w:t>
      </w:r>
    </w:p>
    <w:p w14:paraId="43795BE1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en forme de Z clipsées sur des porte-lames</w:t>
      </w:r>
    </w:p>
    <w:p w14:paraId="21C6A5E6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Hauteur de lame : 76 mm</w:t>
      </w:r>
    </w:p>
    <w:p w14:paraId="5CD7364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Pas de lame : 75 mm</w:t>
      </w:r>
    </w:p>
    <w:p w14:paraId="47494350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Profondeur de la lame : 53 mm</w:t>
      </w:r>
    </w:p>
    <w:p w14:paraId="60A83CE3" w14:textId="480424CC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Épaisseur du profil : minimum 1,5 mm</w:t>
      </w:r>
    </w:p>
    <w:p w14:paraId="3134AEBA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Surface visuelle libre : 80 %</w:t>
      </w:r>
    </w:p>
    <w:p w14:paraId="4D1FDC61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Surface physique libre : 54 %</w:t>
      </w:r>
    </w:p>
    <w:p w14:paraId="60740D0B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5A5641AA" w14:textId="5F255395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Profils porteur :</w:t>
      </w:r>
    </w:p>
    <w:p w14:paraId="3A21FB16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en aluminium prévue d'une encoche pour la fixation des supports de lamelles</w:t>
      </w:r>
    </w:p>
    <w:p w14:paraId="44AA5D26" w14:textId="36046D3F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légers 30/12 et 50/12 : fixation directement sur les montants (sans entraxe montant)</w:t>
      </w:r>
    </w:p>
    <w:p w14:paraId="56C452B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Les profils de support lourds 21/50 Multi, 50/50 et 50/125 : approprié pour entraxe montant, fixés sur les montants au moyen de profilés en L inclus</w:t>
      </w:r>
    </w:p>
    <w:p w14:paraId="401C602B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44A552FA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pièces moulées par injection en polyamide PA 6.6 renforcé de fibre de verre</w:t>
      </w:r>
    </w:p>
    <w:p w14:paraId="369E08B9" w14:textId="77777777">
      <w:pPr>
        <w:pStyle w:val="Geenafstand"/>
        <w:ind w:left="720"/>
      </w:pPr>
    </w:p>
    <w:p w14:paraId="156D1245" w14:textId="02640683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Profondeur de montage :</w:t>
      </w:r>
    </w:p>
    <w:p w14:paraId="1462A58E" w14:textId="525A88D6">
      <w:pPr>
        <w:pStyle w:val="Geenafstand"/>
        <w:numPr>
          <w:ilvl w:val="0"/>
          <w:numId w:val="27"/>
        </w:numPr>
      </w:pPr>
      <w:r>
        <w:t xml:space="preserve">Profilé de support 50/12 : 65 mm</w:t>
      </w:r>
    </w:p>
    <w:p w14:paraId="2775ECD0" w14:textId="77777777">
      <w:pPr>
        <w:pStyle w:val="Geenafstand"/>
        <w:numPr>
          <w:ilvl w:val="0"/>
          <w:numId w:val="27"/>
        </w:numPr>
      </w:pPr>
      <w:r>
        <w:t xml:space="preserve">Profilé de support 50/50 ou 21/50 Multi : 103 mm</w:t>
      </w:r>
    </w:p>
    <w:p w14:paraId="720AB230" w14:textId="77777777">
      <w:pPr>
        <w:pStyle w:val="Geenafstand"/>
        <w:numPr>
          <w:ilvl w:val="0"/>
          <w:numId w:val="27"/>
        </w:numPr>
      </w:pPr>
      <w:r>
        <w:t xml:space="preserve">Profilé de support 50/125 : 178 mm</w:t>
      </w:r>
    </w:p>
    <w:p w14:paraId="1F62D858" w14:textId="77777777">
      <w:pPr>
        <w:pStyle w:val="Geenafstand"/>
        <w:ind w:left="720"/>
      </w:pPr>
    </w:p>
    <w:p w14:paraId="2E127A04" w14:textId="77777777">
      <w:pPr>
        <w:pStyle w:val="Kop2"/>
      </w:pPr>
      <w:r>
        <w:t xml:space="preserve">Traitement de surface :</w:t>
      </w:r>
    </w:p>
    <w:p w14:paraId="15DFC153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440846C6" w14:textId="06206A70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0C8FE78F" w14:textId="76404AE4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07B31352" w14:textId="77777777">
      <w:pPr>
        <w:pStyle w:val="Geenafstand"/>
      </w:pPr>
    </w:p>
    <w:p w14:paraId="7BF8F75E" w14:textId="77777777">
      <w:pPr>
        <w:pStyle w:val="Kop2"/>
      </w:pPr>
      <w:r>
        <w:t xml:space="preserve">Caractéristiques fonctionnelles :</w:t>
      </w:r>
    </w:p>
    <w:p w14:paraId="1936D566" w14:textId="30B8FBD7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67A57475" w14:textId="214FB09A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entrée d'air : 20,85</w:t>
      </w:r>
    </w:p>
    <w:p w14:paraId="51719481" w14:textId="4EBF38D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11,34</w:t>
      </w:r>
    </w:p>
    <w:p w14:paraId="0D5AF734" w14:textId="4E09E715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0,219</w:t>
      </w:r>
    </w:p>
    <w:p w14:paraId="75CA2D4D" w14:textId="6CF2F45B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0,297</w:t>
      </w:r>
    </w:p>
    <w:p w14:paraId="6838D1A4" w14:textId="77777777">
      <w:pPr>
        <w:spacing w:after="200" w:line="276" w:lineRule="auto"/>
      </w:pPr>
      <w:r>
        <w:br w:type="page"/>
      </w:r>
    </w:p>
    <w:p w14:paraId="572D2770" w14:textId="46C11908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7A4EDF35" w14:textId="6B559E6E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entrée d'air : 20,85</w:t>
      </w:r>
    </w:p>
    <w:p w14:paraId="3ED5E732" w14:textId="09C9B9CF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Facteur K - extraction : 12,06</w:t>
      </w:r>
    </w:p>
    <w:p w14:paraId="2F133538" w14:textId="6177E32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0,219</w:t>
      </w:r>
    </w:p>
    <w:p w14:paraId="0EED66D6" w14:textId="01708042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0,288</w:t>
      </w:r>
    </w:p>
    <w:p w14:paraId="42C34437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</w:p>
    <w:p w14:paraId="66CF655B" w14:textId="0AEAFF72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3D7039A9" w14:textId="0F5D2103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1560EDED" w14:textId="3803255B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4294554B" w14:textId="6A7C9BB9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4F9900ED" w14:textId="79894C5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3BC56667" w14:textId="50ABB341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1EF6633F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7AD065BD" w14:textId="7399BAF9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27DBEC69" w14:textId="0AF9151E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6D4A3BF4" w14:textId="77777777">
      <w:pPr>
        <w:pStyle w:val="Geenafstand"/>
        <w:rPr>
          <w:rFonts w:cs="Tahoma"/>
        </w:rPr>
      </w:pPr>
    </w:p>
    <w:p w14:paraId="11173634" w14:textId="469EFE5D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4287232F" w14:textId="418FE1D0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555DA80D" w14:textId="13041114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0504DCBC" w14:textId="63773D24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2694BBE4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32F8D805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0F840884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57477B7B" w14:textId="4B0B2444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6C58FB1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22259226" w14:textId="77777777">
      <w:pPr>
        <w:pStyle w:val="Geenafstand"/>
        <w:rPr>
          <w:rFonts w:cs="Tahoma"/>
        </w:rPr>
      </w:pPr>
    </w:p>
    <w:p w14:paraId="53EAF833" w14:textId="77777777">
      <w:pPr>
        <w:pStyle w:val="Kop2"/>
      </w:pPr>
      <w:r>
        <w:t xml:space="preserve">Conforme ou testé selon les normes :</w:t>
      </w:r>
    </w:p>
    <w:p w14:paraId="7840A067" w14:textId="46F109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6256947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2E8B700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3655969C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et C</w:t>
      </w:r>
      <w:r>
        <w:rPr>
          <w:vertAlign w:val="subscript"/>
        </w:rPr>
        <w:t>d</w:t>
      </w:r>
    </w:p>
    <w:p w14:paraId="0C7F9EE4" w14:textId="1B85F2CF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 : calculs de résistance</w:t>
      </w:r>
    </w:p>
    <w:p w14:paraId="16FF377E" w14:textId="77777777">
      <w:pPr>
        <w:pStyle w:val="Kop2"/>
        <w:rPr>
          <w:highlight w:val="yellow"/>
        </w:rPr>
      </w:pPr>
    </w:p>
    <w:p w14:paraId="5800AC1F" w14:textId="77777777">
      <w:pPr>
        <w:pStyle w:val="Kop2"/>
      </w:pPr>
      <w:r>
        <w:t xml:space="preserve">Anti-effraction en option</w:t>
      </w:r>
    </w:p>
    <w:p w14:paraId="2CD808D0" w14:textId="77777777">
      <w:pPr>
        <w:pStyle w:val="Geenafstand"/>
      </w:pPr>
      <w:r>
        <w:t xml:space="preserve">La cloison à lamelles peut éventuellement être munie d'un treillis métallique pour une résistance à l'effraction RC2.</w:t>
      </w:r>
    </w:p>
    <w:p w14:paraId="76D6EE73" w14:textId="7CC0AAEA">
      <w:pPr>
        <w:pStyle w:val="Geenafstand"/>
      </w:pPr>
      <w:r>
        <w:t xml:space="preserve">Classe 2 (EN1627:2011 &amp; NEN 5096:2012+A1:2015)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AF45" w14:textId="77777777">
      <w:r>
        <w:separator/>
      </w:r>
    </w:p>
  </w:endnote>
  <w:endnote w:type="continuationSeparator" w:id="0">
    <w:p w14:paraId="60E679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A48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597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364D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1FE9" w14:textId="77777777">
      <w:r>
        <w:separator/>
      </w:r>
    </w:p>
  </w:footnote>
  <w:footnote w:type="continuationSeparator" w:id="0">
    <w:p w14:paraId="2B51F7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B973" w14:textId="77777777">
    <w:pPr>
      <w:pStyle w:val="Koptekst"/>
    </w:pPr>
    <w:r>
      <w:pict w14:anchorId="047C581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852F" w14:textId="77777777">
    <w:pPr>
      <w:pStyle w:val="Koptekst"/>
    </w:pPr>
    <w:r>
      <w:pict w14:anchorId="67AA3A1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D30" w14:textId="77777777">
    <w:pPr>
      <w:pStyle w:val="Koptekst"/>
    </w:pPr>
    <w:r>
      <w:pict w14:anchorId="298CB1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7550259">
    <w:abstractNumId w:val="26"/>
  </w:num>
  <w:num w:numId="2" w16cid:durableId="609508011">
    <w:abstractNumId w:val="22"/>
  </w:num>
  <w:num w:numId="3" w16cid:durableId="1241988162">
    <w:abstractNumId w:val="10"/>
  </w:num>
  <w:num w:numId="4" w16cid:durableId="405610198">
    <w:abstractNumId w:val="6"/>
  </w:num>
  <w:num w:numId="5" w16cid:durableId="322662468">
    <w:abstractNumId w:val="5"/>
  </w:num>
  <w:num w:numId="6" w16cid:durableId="1106928245">
    <w:abstractNumId w:val="9"/>
  </w:num>
  <w:num w:numId="7" w16cid:durableId="1997343232">
    <w:abstractNumId w:val="4"/>
  </w:num>
  <w:num w:numId="8" w16cid:durableId="1463117189">
    <w:abstractNumId w:val="3"/>
  </w:num>
  <w:num w:numId="9" w16cid:durableId="531697014">
    <w:abstractNumId w:val="2"/>
  </w:num>
  <w:num w:numId="10" w16cid:durableId="1221211235">
    <w:abstractNumId w:val="1"/>
  </w:num>
  <w:num w:numId="11" w16cid:durableId="195780194">
    <w:abstractNumId w:val="0"/>
  </w:num>
  <w:num w:numId="12" w16cid:durableId="46681852">
    <w:abstractNumId w:val="7"/>
  </w:num>
  <w:num w:numId="13" w16cid:durableId="1080178274">
    <w:abstractNumId w:val="8"/>
  </w:num>
  <w:num w:numId="14" w16cid:durableId="2098670734">
    <w:abstractNumId w:val="25"/>
  </w:num>
  <w:num w:numId="15" w16cid:durableId="415522204">
    <w:abstractNumId w:val="12"/>
  </w:num>
  <w:num w:numId="16" w16cid:durableId="1743482232">
    <w:abstractNumId w:val="24"/>
  </w:num>
  <w:num w:numId="17" w16cid:durableId="1581210208">
    <w:abstractNumId w:val="18"/>
  </w:num>
  <w:num w:numId="18" w16cid:durableId="1819303999">
    <w:abstractNumId w:val="23"/>
  </w:num>
  <w:num w:numId="19" w16cid:durableId="457526940">
    <w:abstractNumId w:val="13"/>
  </w:num>
  <w:num w:numId="20" w16cid:durableId="830370836">
    <w:abstractNumId w:val="20"/>
  </w:num>
  <w:num w:numId="21" w16cid:durableId="356154326">
    <w:abstractNumId w:val="15"/>
  </w:num>
  <w:num w:numId="22" w16cid:durableId="1800873838">
    <w:abstractNumId w:val="11"/>
  </w:num>
  <w:num w:numId="23" w16cid:durableId="1514877250">
    <w:abstractNumId w:val="19"/>
  </w:num>
  <w:num w:numId="24" w16cid:durableId="1655911920">
    <w:abstractNumId w:val="16"/>
  </w:num>
  <w:num w:numId="25" w16cid:durableId="1677266294">
    <w:abstractNumId w:val="21"/>
  </w:num>
  <w:num w:numId="26" w16cid:durableId="841623734">
    <w:abstractNumId w:val="14"/>
  </w:num>
  <w:num w:numId="27" w16cid:durableId="7605672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4717"/>
    <w:rsid w:val="00011D41"/>
    <w:rsid w:val="00013FD5"/>
    <w:rsid w:val="0006501C"/>
    <w:rsid w:val="00066BA1"/>
    <w:rsid w:val="000850FF"/>
    <w:rsid w:val="000974F5"/>
    <w:rsid w:val="000A4893"/>
    <w:rsid w:val="000D4094"/>
    <w:rsid w:val="00132F82"/>
    <w:rsid w:val="00145AFB"/>
    <w:rsid w:val="001470E4"/>
    <w:rsid w:val="00153EEE"/>
    <w:rsid w:val="001C548A"/>
    <w:rsid w:val="002047D0"/>
    <w:rsid w:val="00217093"/>
    <w:rsid w:val="00222F29"/>
    <w:rsid w:val="00232A66"/>
    <w:rsid w:val="00263CB7"/>
    <w:rsid w:val="002A46E2"/>
    <w:rsid w:val="002A570F"/>
    <w:rsid w:val="002A6498"/>
    <w:rsid w:val="002D28BD"/>
    <w:rsid w:val="002F0B81"/>
    <w:rsid w:val="002F4432"/>
    <w:rsid w:val="00315892"/>
    <w:rsid w:val="003712C3"/>
    <w:rsid w:val="00393524"/>
    <w:rsid w:val="003C21CC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F05CA"/>
    <w:rsid w:val="00605AB9"/>
    <w:rsid w:val="0061302D"/>
    <w:rsid w:val="0063246E"/>
    <w:rsid w:val="00671AA8"/>
    <w:rsid w:val="006A7104"/>
    <w:rsid w:val="006B03E9"/>
    <w:rsid w:val="006C3D0E"/>
    <w:rsid w:val="006E48D9"/>
    <w:rsid w:val="006F3CC4"/>
    <w:rsid w:val="007244D2"/>
    <w:rsid w:val="00737673"/>
    <w:rsid w:val="00787799"/>
    <w:rsid w:val="007A06F7"/>
    <w:rsid w:val="007A1B8F"/>
    <w:rsid w:val="007B4030"/>
    <w:rsid w:val="007D5206"/>
    <w:rsid w:val="008057A6"/>
    <w:rsid w:val="00816D7F"/>
    <w:rsid w:val="0082380F"/>
    <w:rsid w:val="008D1CFA"/>
    <w:rsid w:val="008E3C3F"/>
    <w:rsid w:val="0092495C"/>
    <w:rsid w:val="009A17EA"/>
    <w:rsid w:val="00A231A8"/>
    <w:rsid w:val="00A24D27"/>
    <w:rsid w:val="00B10DC4"/>
    <w:rsid w:val="00B20205"/>
    <w:rsid w:val="00B21D6F"/>
    <w:rsid w:val="00B33D5D"/>
    <w:rsid w:val="00B34764"/>
    <w:rsid w:val="00B36062"/>
    <w:rsid w:val="00B536F1"/>
    <w:rsid w:val="00B75590"/>
    <w:rsid w:val="00BC2A15"/>
    <w:rsid w:val="00BC7B54"/>
    <w:rsid w:val="00BF0CC0"/>
    <w:rsid w:val="00C11DFF"/>
    <w:rsid w:val="00CB5A3D"/>
    <w:rsid w:val="00D0178E"/>
    <w:rsid w:val="00D34B9C"/>
    <w:rsid w:val="00DA7063"/>
    <w:rsid w:val="00E623A1"/>
    <w:rsid w:val="00EA1317"/>
    <w:rsid w:val="00F01670"/>
    <w:rsid w:val="00F02894"/>
    <w:rsid w:val="00F12C0E"/>
    <w:rsid w:val="00F14A14"/>
    <w:rsid w:val="00F61016"/>
    <w:rsid w:val="00FC5581"/>
    <w:rsid w:val="415481B9"/>
    <w:rsid w:val="45A42178"/>
    <w:rsid w:val="7A6C08B1"/>
    <w:rsid w:val="7FC7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7C8E1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C66D9-97AF-4670-BA05-A8A973006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D6BA5-69AF-4060-BA55-B440813C1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D3078E-4E22-4EC4-933B-69519A5449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23</cp:revision>
  <cp:lastPrinted>2016-03-07T09:51:00Z</cp:lastPrinted>
  <dcterms:created xsi:type="dcterms:W3CDTF">2016-10-17T06:37:00Z</dcterms:created>
  <dcterms:modified xsi:type="dcterms:W3CDTF">2022-11-08T08:02:13Z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