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0E27C9D2" w:rsidR="004258FC" w:rsidRPr="00B666BA" w:rsidRDefault="00B666BA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B666BA">
        <w:rPr>
          <w:lang w:val="fr-FR"/>
        </w:rPr>
        <w:t>00.00.00</w:t>
      </w:r>
      <w:r w:rsidRPr="00B666BA">
        <w:rPr>
          <w:lang w:val="fr-FR"/>
        </w:rPr>
        <w:tab/>
        <w:t>Aérateur autorégulant insonorisant et coupe-feu</w:t>
      </w:r>
      <w:r w:rsidRPr="00B666BA">
        <w:rPr>
          <w:rStyle w:val="MeetChar"/>
          <w:lang w:val="fr-FR"/>
        </w:rPr>
        <w:t xml:space="preserve">  VH mm</w:t>
      </w:r>
      <w:bookmarkEnd w:id="0"/>
      <w:bookmarkEnd w:id="1"/>
      <w:bookmarkEnd w:id="2"/>
      <w:bookmarkEnd w:id="3"/>
      <w:r w:rsidRPr="00B666BA">
        <w:rPr>
          <w:rStyle w:val="MerkChar"/>
          <w:lang w:val="fr-FR"/>
        </w:rPr>
        <w:t xml:space="preserve">  </w:t>
      </w:r>
      <w:r w:rsidRPr="00B666BA">
        <w:rPr>
          <w:rStyle w:val="Referentie"/>
          <w:lang w:val="fr-FR"/>
        </w:rPr>
        <w:t>DUCO Ventilation &amp; Sun Control - FireMax EI 30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 w:rsidR="004258FC" w:rsidRPr="00B666BA" w:rsidRDefault="00B666BA">
      <w:pPr>
        <w:pStyle w:val="Kop5"/>
        <w:rPr>
          <w:lang w:val="fr-FR"/>
        </w:rPr>
      </w:pPr>
      <w:r w:rsidRPr="00B666BA">
        <w:rPr>
          <w:lang w:val="fr-FR"/>
        </w:rPr>
        <w:t>Description :</w:t>
      </w:r>
    </w:p>
    <w:p w14:paraId="59FECE42" w14:textId="7A95F3C1" w:rsidR="004258FC" w:rsidRPr="00B666BA" w:rsidRDefault="00B666BA">
      <w:pPr>
        <w:rPr>
          <w:lang w:val="fr-FR"/>
        </w:rPr>
      </w:pPr>
      <w:r w:rsidRPr="00B666BA">
        <w:rPr>
          <w:rStyle w:val="MerkChar"/>
          <w:lang w:val="fr-FR"/>
        </w:rPr>
        <w:t>FireMax Ei 30 ZR</w:t>
      </w:r>
      <w:r w:rsidRPr="00B666BA">
        <w:rPr>
          <w:lang w:val="fr-FR"/>
        </w:rPr>
        <w:t>, aérateur isophonique en aluminium isolé thermiquement, ignifuge et insonorisant.</w:t>
      </w:r>
    </w:p>
    <w:p w14:paraId="1F3B8ECC" w14:textId="77777777" w:rsidR="004258FC" w:rsidRPr="00B666BA" w:rsidRDefault="004258FC">
      <w:pPr>
        <w:rPr>
          <w:lang w:val="fr-FR"/>
        </w:rPr>
      </w:pPr>
    </w:p>
    <w:p w14:paraId="4AE1F343" w14:textId="77777777" w:rsidR="004258FC" w:rsidRPr="00B666BA" w:rsidRDefault="00B666BA">
      <w:pPr>
        <w:rPr>
          <w:lang w:val="fr-FR"/>
        </w:rPr>
      </w:pPr>
      <w:r w:rsidRPr="00B666BA">
        <w:rPr>
          <w:lang w:val="fr-FR"/>
        </w:rPr>
        <w:t>Convient pour la pose sur vitrage.</w:t>
      </w:r>
    </w:p>
    <w:p w14:paraId="593E324C" w14:textId="77777777" w:rsidR="004258FC" w:rsidRPr="00B666BA" w:rsidRDefault="00B666BA">
      <w:pPr>
        <w:rPr>
          <w:lang w:val="fr-FR"/>
        </w:rPr>
      </w:pPr>
      <w:r w:rsidRPr="00B666BA">
        <w:rPr>
          <w:lang w:val="fr-FR"/>
        </w:rPr>
        <w:t>Plaque intérieure : amovible, lavable et perforée.</w:t>
      </w:r>
    </w:p>
    <w:p w14:paraId="50DDE7DD" w14:textId="77777777" w:rsidR="004258FC" w:rsidRDefault="00B666BA">
      <w:r>
        <w:t>Valeurs techniques incendie atteintes :</w:t>
      </w:r>
    </w:p>
    <w:p w14:paraId="3A9775EA" w14:textId="180C7FBD" w:rsidR="004258FC" w:rsidRDefault="00B666BA">
      <w:pPr>
        <w:pStyle w:val="Lijstalinea"/>
        <w:numPr>
          <w:ilvl w:val="0"/>
          <w:numId w:val="5"/>
        </w:numPr>
      </w:pPr>
      <w:r>
        <w:t>Isolation thermique : EI 1 30</w:t>
      </w:r>
    </w:p>
    <w:p w14:paraId="1C33888F" w14:textId="778EC42B" w:rsidR="004258FC" w:rsidRDefault="00B666BA">
      <w:pPr>
        <w:pStyle w:val="Lijstalinea"/>
        <w:numPr>
          <w:ilvl w:val="0"/>
          <w:numId w:val="5"/>
        </w:numPr>
      </w:pPr>
      <w:r>
        <w:t>Etanchéité au feu : E30</w:t>
      </w:r>
    </w:p>
    <w:p w14:paraId="539AFABF" w14:textId="5AE32195" w:rsidR="004258FC" w:rsidRPr="00B666BA" w:rsidRDefault="00B666BA">
      <w:pPr>
        <w:pStyle w:val="Lijstalinea"/>
        <w:numPr>
          <w:ilvl w:val="0"/>
          <w:numId w:val="5"/>
        </w:numPr>
        <w:rPr>
          <w:lang w:val="fr-FR"/>
        </w:rPr>
      </w:pPr>
      <w:r w:rsidRPr="00B666BA">
        <w:rPr>
          <w:lang w:val="fr-FR"/>
        </w:rPr>
        <w:t>Etanchéité au feu et rayonnement : EW30</w:t>
      </w:r>
    </w:p>
    <w:p w14:paraId="56F8B59A" w14:textId="77777777" w:rsidR="004258FC" w:rsidRPr="00B666BA" w:rsidRDefault="00B666BA">
      <w:pPr>
        <w:rPr>
          <w:lang w:val="fr-FR"/>
        </w:rPr>
      </w:pPr>
      <w:r w:rsidRPr="00B666BA">
        <w:rPr>
          <w:lang w:val="fr-FR"/>
        </w:rPr>
        <w:t>Le clapet autorégulatrice assure un gain d'énergie et un débit constant.</w:t>
      </w:r>
    </w:p>
    <w:p w14:paraId="1E5BC6C4" w14:textId="77777777" w:rsidR="004258FC" w:rsidRPr="00B666BA" w:rsidRDefault="00B666BA">
      <w:pPr>
        <w:rPr>
          <w:lang w:val="fr-FR"/>
        </w:rPr>
      </w:pPr>
      <w:r w:rsidRPr="00B666BA">
        <w:rPr>
          <w:lang w:val="fr-FR"/>
        </w:rPr>
        <w:t>Commande : réglable en continu.</w:t>
      </w:r>
    </w:p>
    <w:p w14:paraId="41E4FD4F" w14:textId="77777777" w:rsidR="004258FC" w:rsidRPr="00B666BA" w:rsidRDefault="00B666BA">
      <w:pPr>
        <w:rPr>
          <w:lang w:val="fr-FR"/>
        </w:rPr>
      </w:pPr>
      <w:r w:rsidRPr="00B666BA">
        <w:rPr>
          <w:lang w:val="fr-FR"/>
        </w:rPr>
        <w:t>La position ouverte|fermée est visible grâce à une indication vert/rouge.</w:t>
      </w:r>
    </w:p>
    <w:p w14:paraId="08D68AB5" w14:textId="77777777" w:rsidR="004258FC" w:rsidRPr="00B666BA" w:rsidRDefault="00B666BA">
      <w:pPr>
        <w:rPr>
          <w:lang w:val="fr-FR"/>
        </w:rPr>
      </w:pPr>
      <w:r w:rsidRPr="00B666BA">
        <w:rPr>
          <w:lang w:val="fr-FR"/>
        </w:rPr>
        <w:t>Matériau amortissant : pour les situations de nuisances sonores légères.</w:t>
      </w:r>
    </w:p>
    <w:p w14:paraId="2993EE6A" w14:textId="77777777" w:rsidR="004258FC" w:rsidRPr="00B666BA" w:rsidRDefault="004258FC">
      <w:pPr>
        <w:rPr>
          <w:lang w:val="fr-FR"/>
        </w:rPr>
      </w:pPr>
    </w:p>
    <w:p w14:paraId="2B2E15E0" w14:textId="77777777" w:rsidR="004258FC" w:rsidRPr="00B666BA" w:rsidRDefault="00B666BA">
      <w:pPr>
        <w:pStyle w:val="Kop5"/>
        <w:rPr>
          <w:lang w:val="fr-FR"/>
        </w:rPr>
      </w:pPr>
      <w:r w:rsidRPr="00B666BA">
        <w:rPr>
          <w:lang w:val="fr-FR"/>
        </w:rPr>
        <w:t>Matériau :</w:t>
      </w:r>
    </w:p>
    <w:p w14:paraId="220A0326" w14:textId="6948485C" w:rsidR="004258FC" w:rsidRPr="00B666BA" w:rsidRDefault="00B666BA">
      <w:pPr>
        <w:rPr>
          <w:lang w:val="fr-FR"/>
        </w:rPr>
      </w:pPr>
      <w:r w:rsidRPr="00B666BA">
        <w:rPr>
          <w:lang w:val="fr-FR"/>
        </w:rPr>
        <w:t>Aluminium : EN AW – 6063 T66, acier inox 304</w:t>
      </w:r>
    </w:p>
    <w:p w14:paraId="702D8823" w14:textId="582EC902" w:rsidR="004258FC" w:rsidRPr="00B666BA" w:rsidRDefault="00B666BA">
      <w:pPr>
        <w:rPr>
          <w:lang w:val="fr-FR"/>
        </w:rPr>
      </w:pPr>
      <w:r w:rsidRPr="00B666BA">
        <w:rPr>
          <w:lang w:val="fr-FR"/>
        </w:rPr>
        <w:t>Pièces en plastique : ABS et PVC (résistant aux chocs, aux couleurs et aux intempéries)</w:t>
      </w:r>
    </w:p>
    <w:p w14:paraId="58CB2160" w14:textId="3AA3A954" w:rsidR="004258FC" w:rsidRPr="00B666BA" w:rsidRDefault="00B666BA">
      <w:pPr>
        <w:rPr>
          <w:lang w:val="fr-FR"/>
        </w:rPr>
      </w:pPr>
      <w:r w:rsidRPr="00B666BA">
        <w:rPr>
          <w:lang w:val="fr-FR"/>
        </w:rPr>
        <w:t>Bande résistante au feu</w:t>
      </w:r>
    </w:p>
    <w:p w14:paraId="1DCC9CF4" w14:textId="77777777" w:rsidR="004258FC" w:rsidRPr="00B666BA" w:rsidRDefault="004258FC">
      <w:pPr>
        <w:rPr>
          <w:lang w:val="fr-FR"/>
        </w:rPr>
      </w:pPr>
    </w:p>
    <w:p w14:paraId="68D8AE75" w14:textId="776E03CB" w:rsidR="004258FC" w:rsidRPr="00B666BA" w:rsidRDefault="00B666BA">
      <w:pPr>
        <w:pStyle w:val="Kop5"/>
        <w:rPr>
          <w:lang w:val="fr-FR"/>
        </w:rPr>
      </w:pPr>
      <w:r w:rsidRPr="00B666BA">
        <w:rPr>
          <w:lang w:val="fr-FR"/>
        </w:rPr>
        <w:t>Traitement de surface :</w:t>
      </w:r>
    </w:p>
    <w:p w14:paraId="5BA9A202" w14:textId="3EEC68AB" w:rsidR="004258FC" w:rsidRPr="00B666BA" w:rsidRDefault="00B66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lang w:val="fr-FR"/>
        </w:rPr>
      </w:pPr>
      <w:r w:rsidRPr="00B666BA">
        <w:rPr>
          <w:rStyle w:val="normaltextrun"/>
          <w:rFonts w:ascii="Calibri" w:hAnsi="Calibri" w:cs="Calibri"/>
          <w:sz w:val="20"/>
          <w:lang w:val="fr-FR"/>
        </w:rPr>
        <w:t>Revêtement en poudre (revêtement en poudre polyester émaillé) : selon Qualicoat Seaside type A, épaisseur de couche 60-80 µm</w:t>
      </w:r>
    </w:p>
    <w:p w14:paraId="1914FB15" w14:textId="77777777" w:rsidR="004258FC" w:rsidRPr="00B666BA" w:rsidRDefault="004258FC">
      <w:pPr>
        <w:rPr>
          <w:lang w:val="fr-FR"/>
        </w:rPr>
      </w:pPr>
    </w:p>
    <w:p w14:paraId="478DAC2E" w14:textId="057F3EE3" w:rsidR="004258FC" w:rsidRDefault="00B666BA">
      <w:pPr>
        <w:pStyle w:val="Kop5"/>
      </w:pPr>
      <w:r>
        <w:t>Couleurs disponibles :</w:t>
      </w:r>
    </w:p>
    <w:p w14:paraId="211332E9" w14:textId="0E71E650" w:rsidR="004258FC" w:rsidRPr="00B666BA" w:rsidRDefault="00B666B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lang w:val="fr-FR"/>
        </w:rPr>
      </w:pPr>
      <w:r w:rsidRPr="00B666BA">
        <w:rPr>
          <w:rStyle w:val="normaltextrun"/>
          <w:rFonts w:ascii="Calibri" w:hAnsi="Calibri" w:cs="Calibri"/>
          <w:sz w:val="20"/>
          <w:lang w:val="fr-FR"/>
        </w:rPr>
        <w:t>Couleurs standard RAL 70 % satiné (sauf RAL 9010 : 90 % satiné) ; mat 30 % satiné ; structure fine</w:t>
      </w:r>
    </w:p>
    <w:p w14:paraId="7894D215" w14:textId="429D359F" w:rsidR="004258FC" w:rsidRDefault="00B666B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004C6DBD" w14:textId="241EF532" w:rsidR="004258FC" w:rsidRDefault="00B666B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Bicolore</w:t>
      </w:r>
    </w:p>
    <w:p w14:paraId="09A2E70D" w14:textId="775FFC2A" w:rsidR="004258FC" w:rsidRDefault="00B666B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Couleurs d'embouts possibles : blanc/noir</w:t>
      </w:r>
    </w:p>
    <w:p w14:paraId="3AB9F011" w14:textId="77777777" w:rsidR="004258FC" w:rsidRDefault="004258FC"/>
    <w:p w14:paraId="7D0BCDA8" w14:textId="77777777" w:rsidR="004258FC" w:rsidRDefault="00B666BA">
      <w:pPr>
        <w:pStyle w:val="P68B1DB1-Kop51"/>
      </w:pPr>
      <w:r>
        <w:t>Spécifications techniques</w:t>
      </w:r>
    </w:p>
    <w:p w14:paraId="48DDAE40" w14:textId="2D230CFA" w:rsidR="004258FC" w:rsidRPr="00B666BA" w:rsidRDefault="00B666BA">
      <w:pPr>
        <w:rPr>
          <w:rStyle w:val="MerkChar"/>
          <w:lang w:val="fr-FR"/>
        </w:rPr>
      </w:pPr>
      <w:r w:rsidRPr="00B666BA">
        <w:rPr>
          <w:lang w:val="fr-FR"/>
        </w:rPr>
        <w:t xml:space="preserve">Tableau des valeurs </w:t>
      </w:r>
      <w:r w:rsidRPr="00B666BA">
        <w:rPr>
          <w:rStyle w:val="MerkChar"/>
          <w:lang w:val="fr-FR"/>
        </w:rPr>
        <w:t>FireMax EI 30 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6"/>
        <w:gridCol w:w="1253"/>
        <w:gridCol w:w="913"/>
        <w:gridCol w:w="867"/>
        <w:gridCol w:w="920"/>
        <w:gridCol w:w="978"/>
        <w:gridCol w:w="1126"/>
        <w:gridCol w:w="989"/>
        <w:gridCol w:w="1923"/>
      </w:tblGrid>
      <w:tr w:rsidR="004258FC" w:rsidRPr="00B666BA" w14:paraId="7DFA4401" w14:textId="77777777">
        <w:tc>
          <w:tcPr>
            <w:tcW w:w="886" w:type="dxa"/>
            <w:vMerge w:val="restart"/>
            <w:shd w:val="clear" w:color="auto" w:fill="92D050"/>
            <w:vAlign w:val="center"/>
          </w:tcPr>
          <w:p w14:paraId="7B72AFC7" w14:textId="77777777" w:rsidR="004258FC" w:rsidRDefault="00B666BA">
            <w:pPr>
              <w:pStyle w:val="P68B1DB1-Standaard2"/>
              <w:jc w:val="center"/>
            </w:pPr>
            <w:r>
              <w:t>Modèle</w:t>
            </w:r>
          </w:p>
        </w:tc>
        <w:tc>
          <w:tcPr>
            <w:tcW w:w="1170" w:type="dxa"/>
            <w:vMerge w:val="restart"/>
            <w:shd w:val="clear" w:color="auto" w:fill="92D050"/>
            <w:vAlign w:val="center"/>
          </w:tcPr>
          <w:p w14:paraId="79CE6006" w14:textId="77777777" w:rsidR="004258FC" w:rsidRDefault="00B666BA">
            <w:pPr>
              <w:pStyle w:val="P68B1DB1-Standaard2"/>
              <w:jc w:val="center"/>
            </w:pPr>
            <w:r>
              <w:t>Détalonnage</w:t>
            </w:r>
          </w:p>
        </w:tc>
        <w:tc>
          <w:tcPr>
            <w:tcW w:w="1798" w:type="dxa"/>
            <w:gridSpan w:val="2"/>
            <w:shd w:val="clear" w:color="auto" w:fill="92D050"/>
            <w:vAlign w:val="center"/>
          </w:tcPr>
          <w:p w14:paraId="6AB3B9E6" w14:textId="697B4F89" w:rsidR="004258FC" w:rsidRPr="00B666BA" w:rsidRDefault="00B666BA">
            <w:pPr>
              <w:pStyle w:val="P68B1DB1-Standaard2"/>
              <w:jc w:val="center"/>
              <w:rPr>
                <w:lang w:val="fr-FR"/>
              </w:rPr>
            </w:pPr>
            <w:r w:rsidRPr="00B666BA">
              <w:rPr>
                <w:lang w:val="fr-FR"/>
              </w:rPr>
              <w:t>Capacité de ventilation avec côte tableau aérateur L = 1 mètre</w:t>
            </w:r>
          </w:p>
        </w:tc>
        <w:tc>
          <w:tcPr>
            <w:tcW w:w="1924" w:type="dxa"/>
            <w:gridSpan w:val="2"/>
            <w:shd w:val="clear" w:color="auto" w:fill="92D050"/>
            <w:vAlign w:val="center"/>
          </w:tcPr>
          <w:p w14:paraId="7D46B465" w14:textId="1384A2EB" w:rsidR="004258FC" w:rsidRPr="00B666BA" w:rsidRDefault="00B666BA">
            <w:pPr>
              <w:pStyle w:val="P68B1DB1-Standaard2"/>
              <w:jc w:val="center"/>
              <w:rPr>
                <w:lang w:val="fr-FR"/>
              </w:rPr>
            </w:pPr>
            <w:r w:rsidRPr="00B666BA">
              <w:rPr>
                <w:lang w:val="fr-FR"/>
              </w:rPr>
              <w:t>Facteur de correction fixe en mètres</w:t>
            </w:r>
          </w:p>
        </w:tc>
        <w:tc>
          <w:tcPr>
            <w:tcW w:w="2127" w:type="dxa"/>
            <w:gridSpan w:val="2"/>
            <w:shd w:val="clear" w:color="auto" w:fill="92D050"/>
            <w:vAlign w:val="center"/>
          </w:tcPr>
          <w:p w14:paraId="5104FDAE" w14:textId="77777777" w:rsidR="004258FC" w:rsidRPr="00B666BA" w:rsidRDefault="00B666BA">
            <w:pPr>
              <w:pStyle w:val="P68B1DB1-Standaard2"/>
              <w:jc w:val="center"/>
              <w:rPr>
                <w:lang w:val="fr-FR"/>
              </w:rPr>
            </w:pPr>
            <w:r w:rsidRPr="00B666BA">
              <w:rPr>
                <w:lang w:val="fr-FR"/>
              </w:rPr>
              <w:t>Valeur acoustique</w:t>
            </w:r>
          </w:p>
          <w:p w14:paraId="57DB2B18" w14:textId="28B1EF6E" w:rsidR="004258FC" w:rsidRPr="00B666BA" w:rsidRDefault="00B666BA">
            <w:pPr>
              <w:pStyle w:val="P68B1DB1-Standaard2"/>
              <w:jc w:val="center"/>
              <w:rPr>
                <w:lang w:val="fr-FR"/>
              </w:rPr>
            </w:pPr>
            <w:r w:rsidRPr="00B666BA">
              <w:rPr>
                <w:lang w:val="fr-FR"/>
              </w:rPr>
              <w:t>D</w:t>
            </w:r>
            <w:r w:rsidRPr="00B666BA">
              <w:rPr>
                <w:vertAlign w:val="subscript"/>
                <w:lang w:val="fr-FR"/>
              </w:rPr>
              <w:t>n,e,W</w:t>
            </w:r>
            <w:r w:rsidRPr="00B666BA">
              <w:rPr>
                <w:lang w:val="fr-FR"/>
              </w:rPr>
              <w:t xml:space="preserve"> (C;Ctr) en dB</w:t>
            </w:r>
          </w:p>
        </w:tc>
        <w:tc>
          <w:tcPr>
            <w:tcW w:w="1950" w:type="dxa"/>
            <w:shd w:val="clear" w:color="auto" w:fill="92D050"/>
            <w:vAlign w:val="center"/>
          </w:tcPr>
          <w:p w14:paraId="1C838E64" w14:textId="14B1E929" w:rsidR="004258FC" w:rsidRPr="00B666BA" w:rsidRDefault="00B666BA">
            <w:pPr>
              <w:pStyle w:val="P68B1DB1-Standaard2"/>
              <w:jc w:val="center"/>
              <w:rPr>
                <w:lang w:val="fr-FR"/>
              </w:rPr>
            </w:pPr>
            <w:r w:rsidRPr="00B666BA">
              <w:rPr>
                <w:lang w:val="fr-FR"/>
              </w:rPr>
              <w:t>Coefficient de transfert de chaleur (valeur U)</w:t>
            </w:r>
          </w:p>
        </w:tc>
      </w:tr>
      <w:tr w:rsidR="004258FC" w14:paraId="5756C8F6" w14:textId="77777777"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0FC49E" w14:textId="77777777" w:rsidR="004258FC" w:rsidRPr="00B666BA" w:rsidRDefault="004258FC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8F68464" w14:textId="77777777" w:rsidR="004258FC" w:rsidRPr="00B666BA" w:rsidRDefault="004258FC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4AC9291" w14:textId="77777777" w:rsidR="004258FC" w:rsidRDefault="00B666BA">
            <w:pPr>
              <w:pStyle w:val="P68B1DB1-Standaard2"/>
              <w:jc w:val="center"/>
            </w:pPr>
            <w:r>
              <w:t>Q1</w:t>
            </w:r>
            <w:r>
              <w:rPr>
                <w:vertAlign w:val="subscript"/>
              </w:rPr>
              <w:t>, 2 Pa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441C380" w14:textId="469EE188" w:rsidR="004258FC" w:rsidRDefault="00B666BA">
            <w:pPr>
              <w:pStyle w:val="P68B1DB1-Standaard2"/>
              <w:jc w:val="center"/>
            </w:pPr>
            <w:r>
              <w:t>Q1</w:t>
            </w:r>
            <w:r>
              <w:rPr>
                <w:vertAlign w:val="subscript"/>
              </w:rPr>
              <w:t>, 10 Pa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34711A6" w14:textId="4BD6EC28" w:rsidR="004258FC" w:rsidRDefault="00B666BA">
            <w:pPr>
              <w:pStyle w:val="P68B1DB1-Standaard2"/>
              <w:jc w:val="center"/>
            </w:pPr>
            <w:r>
              <w:t>LO</w:t>
            </w:r>
            <w:r>
              <w:rPr>
                <w:vertAlign w:val="subscript"/>
              </w:rPr>
              <w:t>, 2 Pa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F5D0CD" w14:textId="07CB4006" w:rsidR="004258FC" w:rsidRDefault="00B666BA">
            <w:pPr>
              <w:pStyle w:val="P68B1DB1-Standaard2"/>
              <w:jc w:val="center"/>
            </w:pPr>
            <w:r>
              <w:t>LO</w:t>
            </w:r>
            <w:r>
              <w:rPr>
                <w:vertAlign w:val="subscript"/>
              </w:rPr>
              <w:t>, 10 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C81BD64" w14:textId="77777777" w:rsidR="004258FC" w:rsidRDefault="00B666BA">
            <w:pPr>
              <w:pStyle w:val="P68B1DB1-Standaard2"/>
              <w:jc w:val="center"/>
            </w:pPr>
            <w:r>
              <w:t>Position ouverte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58375E" w14:textId="37D37E6A" w:rsidR="004258FC" w:rsidRDefault="00B666BA">
            <w:pPr>
              <w:pStyle w:val="P68B1DB1-Standaard2"/>
              <w:jc w:val="center"/>
            </w:pPr>
            <w:r>
              <w:t>Position fermée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150E465" w14:textId="0598CF18" w:rsidR="004258FC" w:rsidRDefault="00B666BA">
            <w:pPr>
              <w:pStyle w:val="P68B1DB1-Standaard2"/>
              <w:jc w:val="center"/>
            </w:pPr>
            <w:r>
              <w:t>W/m²/K</w:t>
            </w:r>
          </w:p>
        </w:tc>
      </w:tr>
      <w:tr w:rsidR="004258FC" w14:paraId="3D3A0754" w14:textId="77777777">
        <w:tc>
          <w:tcPr>
            <w:tcW w:w="886" w:type="dxa"/>
            <w:vMerge w:val="restart"/>
            <w:vAlign w:val="center"/>
          </w:tcPr>
          <w:p w14:paraId="37687024" w14:textId="69EE95BB" w:rsidR="004258FC" w:rsidRDefault="00B666BA">
            <w:pPr>
              <w:jc w:val="center"/>
              <w:rPr>
                <w:rFonts w:asciiTheme="minorHAnsi" w:hAnsiTheme="minorHAnsi"/>
              </w:rPr>
            </w:pPr>
            <w:r>
              <w:rPr>
                <w:rStyle w:val="MerkChar"/>
              </w:rPr>
              <w:t>FireMax EI 30 ZR</w:t>
            </w:r>
          </w:p>
        </w:tc>
        <w:tc>
          <w:tcPr>
            <w:tcW w:w="1170" w:type="dxa"/>
            <w:vAlign w:val="center"/>
          </w:tcPr>
          <w:p w14:paraId="3CA2E8B3" w14:textId="77777777" w:rsidR="004258FC" w:rsidRDefault="00B666BA">
            <w:pPr>
              <w:pStyle w:val="P68B1DB1-Standaard2"/>
              <w:jc w:val="center"/>
            </w:pPr>
            <w:r>
              <w:t>15 mm</w:t>
            </w:r>
          </w:p>
        </w:tc>
        <w:tc>
          <w:tcPr>
            <w:tcW w:w="921" w:type="dxa"/>
            <w:vAlign w:val="center"/>
          </w:tcPr>
          <w:p w14:paraId="496A3130" w14:textId="0F9EF729" w:rsidR="004258FC" w:rsidRDefault="00B666BA">
            <w:pPr>
              <w:pStyle w:val="P68B1DB1-Standaard2"/>
              <w:jc w:val="center"/>
            </w:pPr>
            <w:r>
              <w:t>65,6</w:t>
            </w:r>
          </w:p>
        </w:tc>
        <w:tc>
          <w:tcPr>
            <w:tcW w:w="877" w:type="dxa"/>
            <w:vAlign w:val="center"/>
          </w:tcPr>
          <w:p w14:paraId="50C5E9C7" w14:textId="346599FB" w:rsidR="004258FC" w:rsidRDefault="00B666BA">
            <w:pPr>
              <w:pStyle w:val="P68B1DB1-Standaard2"/>
              <w:jc w:val="center"/>
            </w:pPr>
            <w:r>
              <w:t>60,3</w:t>
            </w:r>
          </w:p>
        </w:tc>
        <w:tc>
          <w:tcPr>
            <w:tcW w:w="932" w:type="dxa"/>
            <w:vAlign w:val="center"/>
          </w:tcPr>
          <w:p w14:paraId="34F533F9" w14:textId="1F4A7B21" w:rsidR="004258FC" w:rsidRDefault="00B666BA">
            <w:pPr>
              <w:pStyle w:val="P68B1DB1-Standaard2"/>
              <w:jc w:val="center"/>
            </w:pPr>
            <w:r>
              <w:t>-0,01</w:t>
            </w:r>
          </w:p>
        </w:tc>
        <w:tc>
          <w:tcPr>
            <w:tcW w:w="992" w:type="dxa"/>
          </w:tcPr>
          <w:p w14:paraId="53A64D76" w14:textId="0627F58E" w:rsidR="004258FC" w:rsidRDefault="00B666BA">
            <w:pPr>
              <w:pStyle w:val="P68B1DB1-Standaard2"/>
              <w:jc w:val="center"/>
            </w:pPr>
            <w:r>
              <w:t>-0,01</w:t>
            </w:r>
          </w:p>
        </w:tc>
        <w:tc>
          <w:tcPr>
            <w:tcW w:w="1134" w:type="dxa"/>
            <w:vAlign w:val="center"/>
          </w:tcPr>
          <w:p w14:paraId="129E0451" w14:textId="417E90CB" w:rsidR="004258FC" w:rsidRDefault="00B666BA">
            <w:pPr>
              <w:pStyle w:val="P68B1DB1-Standaard2"/>
              <w:jc w:val="center"/>
            </w:pPr>
            <w:r>
              <w:t>35 (-1;-2)</w:t>
            </w:r>
          </w:p>
        </w:tc>
        <w:tc>
          <w:tcPr>
            <w:tcW w:w="993" w:type="dxa"/>
            <w:vAlign w:val="bottom"/>
          </w:tcPr>
          <w:p w14:paraId="2DF67D5D" w14:textId="23083A36" w:rsidR="004258FC" w:rsidRDefault="00B666BA">
            <w:pPr>
              <w:pStyle w:val="P68B1DB1-Standaard2"/>
              <w:jc w:val="center"/>
            </w:pPr>
            <w:r>
              <w:t>51 (-1;-4)</w:t>
            </w:r>
          </w:p>
        </w:tc>
        <w:tc>
          <w:tcPr>
            <w:tcW w:w="1950" w:type="dxa"/>
            <w:vAlign w:val="center"/>
          </w:tcPr>
          <w:p w14:paraId="643415ED" w14:textId="3C7E9B46" w:rsidR="004258FC" w:rsidRDefault="00B666BA">
            <w:pPr>
              <w:pStyle w:val="P68B1DB1-Standaard2"/>
              <w:jc w:val="center"/>
            </w:pPr>
            <w:r>
              <w:t>1,56</w:t>
            </w:r>
          </w:p>
        </w:tc>
      </w:tr>
      <w:tr w:rsidR="004258FC" w14:paraId="0ADAA601" w14:textId="77777777">
        <w:tc>
          <w:tcPr>
            <w:tcW w:w="886" w:type="dxa"/>
            <w:vMerge/>
          </w:tcPr>
          <w:p w14:paraId="7638005F" w14:textId="77777777" w:rsidR="004258FC" w:rsidRDefault="004258FC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D733B10" w14:textId="77777777" w:rsidR="004258FC" w:rsidRDefault="00B666BA">
            <w:pPr>
              <w:pStyle w:val="P68B1DB1-Standaard2"/>
              <w:jc w:val="center"/>
            </w:pPr>
            <w:r>
              <w:t>20 mm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0E5AC56" w14:textId="14A324CB" w:rsidR="004258FC" w:rsidRDefault="00B666BA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28ADCD13" w14:textId="09AB8206" w:rsidR="004258FC" w:rsidRDefault="00B666BA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13C11123" w14:textId="21609713" w:rsidR="004258FC" w:rsidRDefault="00B666BA">
            <w:pPr>
              <w:pStyle w:val="P68B1DB1-Standaard2"/>
              <w:jc w:val="center"/>
            </w:pPr>
            <w:r>
              <w:t>-0,01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A119D6" w14:textId="4603F2B2" w:rsidR="004258FC" w:rsidRDefault="00B666BA">
            <w:pPr>
              <w:pStyle w:val="P68B1DB1-Standaard2"/>
              <w:jc w:val="center"/>
            </w:pPr>
            <w:r>
              <w:t>-0,01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846155" w14:textId="78252BDE" w:rsidR="004258FC" w:rsidRDefault="00B666BA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568E89A" w14:textId="0DADF60C" w:rsidR="004258FC" w:rsidRDefault="00B666BA">
            <w:pPr>
              <w:pStyle w:val="P68B1DB1-Standaard2"/>
              <w:jc w:val="center"/>
            </w:pPr>
            <w:r>
              <w:t>49 (0;-3)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4B04F2F" w14:textId="152FB148" w:rsidR="004258FC" w:rsidRDefault="00B666BA">
            <w:pPr>
              <w:pStyle w:val="P68B1DB1-Standaard2"/>
              <w:jc w:val="center"/>
            </w:pPr>
            <w:r>
              <w:t>1,56</w:t>
            </w:r>
          </w:p>
        </w:tc>
      </w:tr>
      <w:tr w:rsidR="004258FC" w14:paraId="20EE8D1C" w14:textId="77777777">
        <w:tc>
          <w:tcPr>
            <w:tcW w:w="886" w:type="dxa"/>
            <w:vMerge/>
            <w:tcBorders>
              <w:bottom w:val="single" w:sz="4" w:space="0" w:color="auto"/>
            </w:tcBorders>
          </w:tcPr>
          <w:p w14:paraId="011F255F" w14:textId="77777777" w:rsidR="004258FC" w:rsidRDefault="004258FC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90C" w14:textId="77777777" w:rsidR="004258FC" w:rsidRDefault="00B666BA">
            <w:pPr>
              <w:pStyle w:val="P68B1DB1-Standaard2"/>
              <w:jc w:val="center"/>
            </w:pPr>
            <w:r>
              <w:t>25 mm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D82" w14:textId="4AE16F1D" w:rsidR="004258FC" w:rsidRDefault="00B666BA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94A" w14:textId="7DC91C8A" w:rsidR="004258FC" w:rsidRDefault="00B666BA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9638" w14:textId="1190831B" w:rsidR="004258FC" w:rsidRDefault="00B666BA">
            <w:pPr>
              <w:pStyle w:val="P68B1DB1-Standaard2"/>
              <w:jc w:val="center"/>
            </w:pPr>
            <w:r>
              <w:t>-0,01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F9C" w14:textId="208273A7" w:rsidR="004258FC" w:rsidRDefault="00B666BA">
            <w:pPr>
              <w:pStyle w:val="P68B1DB1-Standaard2"/>
              <w:jc w:val="center"/>
            </w:pPr>
            <w:r>
              <w:t>-0,01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0DC" w14:textId="324C365C" w:rsidR="004258FC" w:rsidRDefault="00B666BA">
            <w:pPr>
              <w:pStyle w:val="P68B1DB1-Standaard2"/>
              <w:jc w:val="center"/>
            </w:pPr>
            <w:r>
              <w:t>27 (0;-1)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CF4F" w14:textId="65C4E853" w:rsidR="004258FC" w:rsidRDefault="00B666BA">
            <w:pPr>
              <w:pStyle w:val="P68B1DB1-Standaard2"/>
              <w:jc w:val="center"/>
            </w:pPr>
            <w:r>
              <w:t>42 (0;-1)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929" w14:textId="55A282CD" w:rsidR="004258FC" w:rsidRDefault="00B666BA">
            <w:pPr>
              <w:pStyle w:val="P68B1DB1-Standaard2"/>
              <w:jc w:val="center"/>
            </w:pPr>
            <w:r>
              <w:t>1,56</w:t>
            </w:r>
          </w:p>
        </w:tc>
      </w:tr>
    </w:tbl>
    <w:p w14:paraId="7AA81C06" w14:textId="77777777" w:rsidR="004258FC" w:rsidRDefault="004258FC"/>
    <w:p w14:paraId="1D942C95" w14:textId="77777777" w:rsidR="004258FC" w:rsidRDefault="004258FC">
      <w:pPr>
        <w:rPr>
          <w:rFonts w:asciiTheme="minorHAnsi" w:hAnsiTheme="minorHAnsi"/>
        </w:rPr>
      </w:pPr>
    </w:p>
    <w:p w14:paraId="587F1583" w14:textId="77777777" w:rsidR="004258FC" w:rsidRDefault="00B666BA">
      <w:pPr>
        <w:jc w:val="left"/>
      </w:pPr>
      <w:r>
        <w:br w:type="page"/>
      </w:r>
    </w:p>
    <w:p w14:paraId="1E692413" w14:textId="6D1F80B6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lastRenderedPageBreak/>
        <w:t>Contrôlabilité en fonction de la différence de pression :</w:t>
      </w:r>
      <w:r w:rsidRPr="00B666BA">
        <w:rPr>
          <w:lang w:val="fr-FR"/>
        </w:rPr>
        <w:tab/>
        <w:t>P3</w:t>
      </w:r>
    </w:p>
    <w:p w14:paraId="4299AC71" w14:textId="77777777" w:rsidR="004258FC" w:rsidRPr="00B666BA" w:rsidRDefault="004258FC">
      <w:pPr>
        <w:tabs>
          <w:tab w:val="left" w:pos="3686"/>
        </w:tabs>
        <w:rPr>
          <w:highlight w:val="yellow"/>
          <w:lang w:val="fr-FR"/>
        </w:rPr>
      </w:pPr>
    </w:p>
    <w:p w14:paraId="776A9623" w14:textId="20BF1B23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Étanchéité (en position fermée) :</w:t>
      </w:r>
      <w:r w:rsidRPr="00B666BA">
        <w:rPr>
          <w:lang w:val="fr-FR"/>
        </w:rPr>
        <w:tab/>
        <w:t>1050 Pa</w:t>
      </w:r>
    </w:p>
    <w:p w14:paraId="7C0CFA19" w14:textId="77777777" w:rsidR="004258FC" w:rsidRPr="00B666BA" w:rsidRDefault="004258FC">
      <w:pPr>
        <w:tabs>
          <w:tab w:val="left" w:pos="3686"/>
        </w:tabs>
        <w:rPr>
          <w:lang w:val="fr-FR"/>
        </w:rPr>
      </w:pPr>
    </w:p>
    <w:p w14:paraId="4F0EB75F" w14:textId="18E3903D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Résistance au vent (en position fermée) :</w:t>
      </w:r>
      <w:r w:rsidRPr="00B666BA">
        <w:rPr>
          <w:lang w:val="fr-FR"/>
        </w:rPr>
        <w:tab/>
        <w:t>600 Pa</w:t>
      </w:r>
    </w:p>
    <w:p w14:paraId="029D9EB1" w14:textId="77777777" w:rsidR="004258FC" w:rsidRPr="00B666BA" w:rsidRDefault="004258FC">
      <w:pPr>
        <w:tabs>
          <w:tab w:val="left" w:pos="3686"/>
        </w:tabs>
        <w:rPr>
          <w:highlight w:val="yellow"/>
          <w:lang w:val="fr-FR"/>
        </w:rPr>
      </w:pPr>
    </w:p>
    <w:p w14:paraId="73DDA458" w14:textId="33497C6A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Déduction hauteur de vitrage</w:t>
      </w:r>
      <w:r w:rsidRPr="00B666BA">
        <w:rPr>
          <w:lang w:val="fr-FR"/>
        </w:rPr>
        <w:tab/>
        <w:t>92 mm</w:t>
      </w:r>
    </w:p>
    <w:p w14:paraId="18F6BF15" w14:textId="77777777" w:rsidR="004258FC" w:rsidRPr="00B666BA" w:rsidRDefault="004258FC">
      <w:pPr>
        <w:tabs>
          <w:tab w:val="left" w:pos="3686"/>
        </w:tabs>
        <w:rPr>
          <w:lang w:val="fr-FR"/>
        </w:rPr>
      </w:pPr>
    </w:p>
    <w:p w14:paraId="4D0D3D74" w14:textId="6422E94B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Feuillure de vitrage :</w:t>
      </w:r>
      <w:r w:rsidRPr="00B666BA">
        <w:rPr>
          <w:lang w:val="fr-FR"/>
        </w:rPr>
        <w:tab/>
        <w:t>42 mm</w:t>
      </w:r>
    </w:p>
    <w:p w14:paraId="0FFB6728" w14:textId="77777777" w:rsidR="004258FC" w:rsidRPr="00B666BA" w:rsidRDefault="004258FC">
      <w:pPr>
        <w:tabs>
          <w:tab w:val="left" w:pos="3686"/>
        </w:tabs>
        <w:rPr>
          <w:lang w:val="fr-FR"/>
        </w:rPr>
      </w:pPr>
    </w:p>
    <w:p w14:paraId="3AB11F1B" w14:textId="78DE7CD1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Feuillure :</w:t>
      </w:r>
      <w:r w:rsidRPr="00B666BA">
        <w:rPr>
          <w:lang w:val="fr-FR"/>
        </w:rPr>
        <w:tab/>
        <w:t>27 mm</w:t>
      </w:r>
    </w:p>
    <w:p w14:paraId="380323C7" w14:textId="77777777" w:rsidR="004258FC" w:rsidRPr="00B666BA" w:rsidRDefault="004258FC">
      <w:pPr>
        <w:tabs>
          <w:tab w:val="left" w:pos="3686"/>
        </w:tabs>
        <w:rPr>
          <w:lang w:val="fr-FR"/>
        </w:rPr>
      </w:pPr>
    </w:p>
    <w:p w14:paraId="6B806261" w14:textId="3DA8DE6F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Hauteur de l'aérateur :</w:t>
      </w:r>
      <w:r w:rsidRPr="00B666BA">
        <w:rPr>
          <w:lang w:val="fr-FR"/>
        </w:rPr>
        <w:tab/>
        <w:t>107 mm</w:t>
      </w:r>
    </w:p>
    <w:p w14:paraId="3868FAEE" w14:textId="77777777" w:rsidR="004258FC" w:rsidRPr="00B666BA" w:rsidRDefault="004258FC">
      <w:pPr>
        <w:tabs>
          <w:tab w:val="left" w:pos="3686"/>
        </w:tabs>
        <w:rPr>
          <w:lang w:val="fr-FR"/>
        </w:rPr>
      </w:pPr>
    </w:p>
    <w:p w14:paraId="587059A9" w14:textId="564DAD84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 xml:space="preserve">Commande : </w:t>
      </w:r>
      <w:r w:rsidRPr="00B666BA">
        <w:rPr>
          <w:lang w:val="fr-FR"/>
        </w:rPr>
        <w:tab/>
        <w:t>…</w:t>
      </w:r>
    </w:p>
    <w:p w14:paraId="692C993C" w14:textId="21411966" w:rsidR="004258FC" w:rsidRPr="00B666BA" w:rsidRDefault="00B666BA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B666BA">
        <w:rPr>
          <w:lang w:val="fr-FR"/>
        </w:rPr>
        <w:t>En continu, avec manette 15 mm</w:t>
      </w:r>
    </w:p>
    <w:p w14:paraId="6EFF81C3" w14:textId="43E27D21" w:rsidR="004258FC" w:rsidRPr="00B666BA" w:rsidRDefault="00B666BA">
      <w:pPr>
        <w:pStyle w:val="P68B1DB1-Standaard3"/>
        <w:tabs>
          <w:tab w:val="left" w:pos="3686"/>
        </w:tabs>
        <w:rPr>
          <w:lang w:val="fr-FR"/>
        </w:rPr>
      </w:pPr>
      <w:r w:rsidRPr="00B666BA">
        <w:rPr>
          <w:lang w:val="fr-FR"/>
        </w:rPr>
        <w:tab/>
        <w:t>En continu, avec cordon</w:t>
      </w:r>
    </w:p>
    <w:p w14:paraId="5B22166A" w14:textId="2C596AA1" w:rsidR="004258FC" w:rsidRPr="00B666BA" w:rsidRDefault="00B666BA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B666BA">
        <w:rPr>
          <w:lang w:val="fr-FR"/>
        </w:rPr>
        <w:t>En continu, avec tringle</w:t>
      </w:r>
    </w:p>
    <w:p w14:paraId="45C2D505" w14:textId="77777777" w:rsidR="004258FC" w:rsidRPr="00B666BA" w:rsidRDefault="004258FC">
      <w:pPr>
        <w:tabs>
          <w:tab w:val="left" w:pos="3686"/>
        </w:tabs>
        <w:rPr>
          <w:lang w:val="fr-FR"/>
        </w:rPr>
      </w:pPr>
    </w:p>
    <w:p w14:paraId="5E730BF6" w14:textId="7E6E6D2C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Longueur de l’aérateur :</w:t>
      </w:r>
      <w:r w:rsidRPr="00B666BA">
        <w:rPr>
          <w:lang w:val="fr-FR"/>
        </w:rPr>
        <w:tab/>
        <w:t>… mm</w:t>
      </w:r>
    </w:p>
    <w:p w14:paraId="7E9ED2D3" w14:textId="67A26618" w:rsidR="004258FC" w:rsidRPr="00B666BA" w:rsidRDefault="00B666BA" w:rsidP="00B666BA">
      <w:pPr>
        <w:pStyle w:val="Nota"/>
        <w:tabs>
          <w:tab w:val="left" w:pos="3686"/>
        </w:tabs>
        <w:ind w:left="3686"/>
        <w:rPr>
          <w:lang w:val="fr-FR"/>
        </w:rPr>
      </w:pPr>
      <w:r w:rsidRPr="00B666BA">
        <w:rPr>
          <w:lang w:val="fr-FR"/>
        </w:rPr>
        <w:t>Maximum 1 114 mm sous garantie (dans le cadre du certificat de résistance au feu) :</w:t>
      </w:r>
    </w:p>
    <w:p w14:paraId="1857C214" w14:textId="77777777" w:rsidR="004258FC" w:rsidRPr="00B666BA" w:rsidRDefault="004258FC">
      <w:pPr>
        <w:pStyle w:val="Nota"/>
        <w:tabs>
          <w:tab w:val="left" w:pos="3686"/>
        </w:tabs>
        <w:ind w:left="2880" w:firstLine="806"/>
        <w:rPr>
          <w:lang w:val="fr-FR"/>
        </w:rPr>
      </w:pPr>
    </w:p>
    <w:p w14:paraId="79BD2612" w14:textId="546E52DE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>Montage / pose :</w:t>
      </w:r>
      <w:r w:rsidRPr="00B666BA">
        <w:rPr>
          <w:lang w:val="fr-FR"/>
        </w:rPr>
        <w:tab/>
        <w:t>Selon les instructions de pose du fabricant</w:t>
      </w:r>
    </w:p>
    <w:p w14:paraId="24A20461" w14:textId="3A8326A5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ab/>
        <w:t>Sceller avec Firestop 700</w:t>
      </w:r>
    </w:p>
    <w:p w14:paraId="422BAAAA" w14:textId="1D39EDB2" w:rsidR="004258FC" w:rsidRPr="00B666BA" w:rsidRDefault="00B666BA">
      <w:pPr>
        <w:tabs>
          <w:tab w:val="left" w:pos="3686"/>
        </w:tabs>
        <w:rPr>
          <w:lang w:val="fr-FR"/>
        </w:rPr>
      </w:pPr>
      <w:r w:rsidRPr="00B666BA">
        <w:rPr>
          <w:lang w:val="fr-FR"/>
        </w:rPr>
        <w:tab/>
        <w:t>Remblayage résistant au feu Nullifire FJ203</w:t>
      </w:r>
    </w:p>
    <w:p w14:paraId="72F3DC45" w14:textId="14C5FCA0" w:rsidR="004258FC" w:rsidRPr="00B666BA" w:rsidRDefault="00B666BA">
      <w:pPr>
        <w:pStyle w:val="Nota"/>
        <w:tabs>
          <w:tab w:val="left" w:pos="3686"/>
        </w:tabs>
        <w:ind w:left="2880" w:firstLine="806"/>
        <w:rPr>
          <w:rStyle w:val="MerkChar"/>
          <w:i w:val="0"/>
          <w:color w:val="auto"/>
          <w:lang w:val="fr-FR"/>
        </w:rPr>
      </w:pPr>
      <w:r w:rsidRPr="00B666BA">
        <w:rPr>
          <w:color w:val="auto"/>
          <w:lang w:val="fr-FR"/>
        </w:rPr>
        <w:t xml:space="preserve">En combinaison avec </w:t>
      </w:r>
      <w:r w:rsidRPr="00B666BA">
        <w:rPr>
          <w:rStyle w:val="MerkChar"/>
          <w:i w:val="0"/>
          <w:color w:val="auto"/>
          <w:lang w:val="fr-FR"/>
        </w:rPr>
        <w:t>VetroTech Contraflam IDU</w:t>
      </w:r>
    </w:p>
    <w:p w14:paraId="68433DEE" w14:textId="3A28C371" w:rsidR="004258FC" w:rsidRPr="00B666BA" w:rsidRDefault="00B666BA">
      <w:pPr>
        <w:pStyle w:val="Nota"/>
        <w:tabs>
          <w:tab w:val="left" w:pos="3686"/>
        </w:tabs>
        <w:ind w:left="2880" w:firstLine="806"/>
        <w:rPr>
          <w:color w:val="auto"/>
          <w:lang w:val="fr-FR"/>
        </w:rPr>
      </w:pPr>
      <w:r w:rsidRPr="00B666BA">
        <w:rPr>
          <w:color w:val="auto"/>
          <w:lang w:val="fr-FR"/>
        </w:rPr>
        <w:t xml:space="preserve">En combinaison avec </w:t>
      </w:r>
      <w:r w:rsidRPr="00B666BA">
        <w:rPr>
          <w:rStyle w:val="MerkChar"/>
          <w:i w:val="0"/>
          <w:color w:val="auto"/>
          <w:lang w:val="fr-FR"/>
        </w:rPr>
        <w:t>Reynaers Masterline</w:t>
      </w:r>
    </w:p>
    <w:p w14:paraId="686A7234" w14:textId="77777777" w:rsidR="004258FC" w:rsidRPr="00B666BA" w:rsidRDefault="004258FC">
      <w:pPr>
        <w:tabs>
          <w:tab w:val="left" w:pos="3686"/>
        </w:tabs>
        <w:rPr>
          <w:lang w:val="fr-FR"/>
        </w:rPr>
      </w:pPr>
    </w:p>
    <w:p w14:paraId="56AC23DC" w14:textId="77777777" w:rsidR="004258FC" w:rsidRPr="00B666BA" w:rsidRDefault="00B666BA">
      <w:pPr>
        <w:pStyle w:val="Kop5"/>
        <w:rPr>
          <w:lang w:val="fr-FR"/>
        </w:rPr>
      </w:pPr>
      <w:r w:rsidRPr="00B666BA">
        <w:rPr>
          <w:lang w:val="fr-FR"/>
        </w:rPr>
        <w:t>Application :</w:t>
      </w:r>
    </w:p>
    <w:p w14:paraId="24E88923" w14:textId="48DE9506" w:rsidR="004258FC" w:rsidRPr="00B666BA" w:rsidRDefault="00B666BA">
      <w:pPr>
        <w:pStyle w:val="P68B1DB1-OFWEL4"/>
        <w:rPr>
          <w:lang w:val="fr-FR"/>
        </w:rPr>
      </w:pPr>
      <w:r w:rsidRPr="00B666BA">
        <w:rPr>
          <w:lang w:val="fr-FR"/>
        </w:rPr>
        <w:t>Développé pour la pose sur vitrage en combinaison avec le type de verre mentionné ci-dessus et une fenêtre ou une porte en aluminium.</w:t>
      </w:r>
      <w:r w:rsidRPr="00B666BA">
        <w:rPr>
          <w:lang w:val="fr-FR"/>
        </w:rPr>
        <w:br/>
        <w:t>Les portes et fenêtres suivantes ont été testées pour le certificat de résistance au feu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843"/>
      </w:tblGrid>
      <w:tr w:rsidR="004258FC" w14:paraId="69B734F0" w14:textId="77777777">
        <w:tc>
          <w:tcPr>
            <w:tcW w:w="1526" w:type="dxa"/>
            <w:shd w:val="clear" w:color="auto" w:fill="A6A6A6" w:themeFill="background1" w:themeFillShade="A6"/>
          </w:tcPr>
          <w:p w14:paraId="5968678D" w14:textId="77777777" w:rsidR="004258FC" w:rsidRPr="00B666BA" w:rsidRDefault="004258FC">
            <w:pPr>
              <w:rPr>
                <w:lang w:val="fr-FR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15596D42" w14:textId="6A10BEEE" w:rsidR="004258FC" w:rsidRDefault="00B666BA">
            <w:r>
              <w:t>Largeur maxi du vitrage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2C13912" w14:textId="5EB258F6" w:rsidR="004258FC" w:rsidRDefault="00B666BA">
            <w:r>
              <w:t>Hauteur maxi du vitrage</w:t>
            </w:r>
          </w:p>
        </w:tc>
      </w:tr>
      <w:tr w:rsidR="004258FC" w14:paraId="52930EA3" w14:textId="77777777">
        <w:tc>
          <w:tcPr>
            <w:tcW w:w="1526" w:type="dxa"/>
          </w:tcPr>
          <w:p w14:paraId="3476CD61" w14:textId="2E90D662" w:rsidR="004258FC" w:rsidRDefault="00B666BA">
            <w:r>
              <w:t>Porte</w:t>
            </w:r>
          </w:p>
        </w:tc>
        <w:tc>
          <w:tcPr>
            <w:tcW w:w="1984" w:type="dxa"/>
          </w:tcPr>
          <w:p w14:paraId="4CB1D52F" w14:textId="29EDE547" w:rsidR="004258FC" w:rsidRDefault="00B666BA">
            <w:pPr>
              <w:tabs>
                <w:tab w:val="decimal" w:pos="889"/>
              </w:tabs>
            </w:pPr>
            <w:r>
              <w:t>885,5 mm</w:t>
            </w:r>
          </w:p>
        </w:tc>
        <w:tc>
          <w:tcPr>
            <w:tcW w:w="1843" w:type="dxa"/>
          </w:tcPr>
          <w:p w14:paraId="5D4C48D5" w14:textId="64AC4DAE" w:rsidR="004258FC" w:rsidRDefault="00B666BA">
            <w:pPr>
              <w:tabs>
                <w:tab w:val="decimal" w:pos="852"/>
              </w:tabs>
            </w:pPr>
            <w:r>
              <w:t>2.137,5 mm</w:t>
            </w:r>
          </w:p>
        </w:tc>
      </w:tr>
      <w:tr w:rsidR="004258FC" w14:paraId="36F397DC" w14:textId="77777777">
        <w:tc>
          <w:tcPr>
            <w:tcW w:w="1526" w:type="dxa"/>
          </w:tcPr>
          <w:p w14:paraId="6EA55555" w14:textId="6C4E1515" w:rsidR="004258FC" w:rsidRDefault="00B666BA">
            <w:r>
              <w:t>Fenêtre 1</w:t>
            </w:r>
          </w:p>
        </w:tc>
        <w:tc>
          <w:tcPr>
            <w:tcW w:w="1984" w:type="dxa"/>
          </w:tcPr>
          <w:p w14:paraId="57C7A114" w14:textId="11BE1233" w:rsidR="004258FC" w:rsidRDefault="00B666BA">
            <w:pPr>
              <w:tabs>
                <w:tab w:val="decimal" w:pos="889"/>
              </w:tabs>
            </w:pPr>
            <w:r>
              <w:t>1.114,5 mm</w:t>
            </w:r>
          </w:p>
        </w:tc>
        <w:tc>
          <w:tcPr>
            <w:tcW w:w="1843" w:type="dxa"/>
          </w:tcPr>
          <w:p w14:paraId="207B5834" w14:textId="5F170C9D" w:rsidR="004258FC" w:rsidRDefault="00B666BA">
            <w:pPr>
              <w:tabs>
                <w:tab w:val="decimal" w:pos="852"/>
              </w:tabs>
            </w:pPr>
            <w:r>
              <w:t>2.292 mm</w:t>
            </w:r>
          </w:p>
        </w:tc>
      </w:tr>
      <w:tr w:rsidR="004258FC" w14:paraId="4F4FD175" w14:textId="77777777">
        <w:tc>
          <w:tcPr>
            <w:tcW w:w="1526" w:type="dxa"/>
          </w:tcPr>
          <w:p w14:paraId="3A15AC03" w14:textId="234B6937" w:rsidR="004258FC" w:rsidRDefault="00B666BA">
            <w:r>
              <w:t>Fenêtre 2</w:t>
            </w:r>
          </w:p>
        </w:tc>
        <w:tc>
          <w:tcPr>
            <w:tcW w:w="1984" w:type="dxa"/>
          </w:tcPr>
          <w:p w14:paraId="6C74C7CD" w14:textId="4AB22DE7" w:rsidR="004258FC" w:rsidRDefault="00B666BA">
            <w:pPr>
              <w:tabs>
                <w:tab w:val="decimal" w:pos="889"/>
              </w:tabs>
            </w:pPr>
            <w:r>
              <w:t>737 mm</w:t>
            </w:r>
          </w:p>
        </w:tc>
        <w:tc>
          <w:tcPr>
            <w:tcW w:w="1843" w:type="dxa"/>
          </w:tcPr>
          <w:p w14:paraId="57220612" w14:textId="60224E54" w:rsidR="004258FC" w:rsidRDefault="00B666BA">
            <w:pPr>
              <w:tabs>
                <w:tab w:val="decimal" w:pos="852"/>
              </w:tabs>
            </w:pPr>
            <w:r>
              <w:t>2.266 mm</w:t>
            </w:r>
          </w:p>
        </w:tc>
      </w:tr>
      <w:tr w:rsidR="004258FC" w14:paraId="028B9C8B" w14:textId="77777777">
        <w:tc>
          <w:tcPr>
            <w:tcW w:w="1526" w:type="dxa"/>
          </w:tcPr>
          <w:p w14:paraId="44234514" w14:textId="0BA35D95" w:rsidR="004258FC" w:rsidRDefault="00B666BA">
            <w:r>
              <w:t>Fenêtre 3</w:t>
            </w:r>
          </w:p>
        </w:tc>
        <w:tc>
          <w:tcPr>
            <w:tcW w:w="1984" w:type="dxa"/>
          </w:tcPr>
          <w:p w14:paraId="181DE65C" w14:textId="2CFA65CA" w:rsidR="004258FC" w:rsidRDefault="00B666BA">
            <w:pPr>
              <w:tabs>
                <w:tab w:val="decimal" w:pos="889"/>
              </w:tabs>
            </w:pPr>
            <w:r>
              <w:t>866,5 mm</w:t>
            </w:r>
          </w:p>
        </w:tc>
        <w:tc>
          <w:tcPr>
            <w:tcW w:w="1843" w:type="dxa"/>
          </w:tcPr>
          <w:p w14:paraId="4E1B25F2" w14:textId="24EF4D6C" w:rsidR="004258FC" w:rsidRDefault="00B666BA">
            <w:pPr>
              <w:tabs>
                <w:tab w:val="decimal" w:pos="852"/>
              </w:tabs>
            </w:pPr>
            <w:r>
              <w:t>1.149,5 mm</w:t>
            </w:r>
          </w:p>
        </w:tc>
      </w:tr>
    </w:tbl>
    <w:p w14:paraId="4DD6E29F" w14:textId="77777777" w:rsidR="004258FC" w:rsidRDefault="004258FC"/>
    <w:p w14:paraId="34369FD1" w14:textId="77777777" w:rsidR="004258FC" w:rsidRDefault="00B666BA">
      <w:pPr>
        <w:pStyle w:val="Kop5"/>
      </w:pPr>
      <w:r>
        <w:t>Nature de l'accord :</w:t>
      </w:r>
    </w:p>
    <w:p w14:paraId="2E9DF3F0" w14:textId="6B3CBE69" w:rsidR="004258FC" w:rsidRDefault="00B666BA">
      <w:r>
        <w:t>Quantité présumée (VH)</w:t>
      </w:r>
    </w:p>
    <w:p w14:paraId="7CA3FDF3" w14:textId="77777777" w:rsidR="004258FC" w:rsidRDefault="00B666BA">
      <w:pPr>
        <w:pStyle w:val="Kop5"/>
      </w:pPr>
      <w:r>
        <w:t>Méthode de mesure :</w:t>
      </w:r>
    </w:p>
    <w:p w14:paraId="3A524339" w14:textId="77777777" w:rsidR="004258FC" w:rsidRDefault="00B666BA">
      <w:pPr>
        <w:pStyle w:val="Meting"/>
      </w:pPr>
      <w:r>
        <w:t>Unité de mesure :</w:t>
      </w:r>
      <w:r>
        <w:tab/>
        <w:t xml:space="preserve">  mm.</w:t>
      </w:r>
    </w:p>
    <w:p w14:paraId="00E9A393" w14:textId="77777777" w:rsidR="004258FC" w:rsidRDefault="00B666BA">
      <w:pPr>
        <w:pStyle w:val="Meting"/>
      </w:pPr>
      <w:r>
        <w:t>Code de mesure :</w:t>
      </w:r>
      <w:r>
        <w:tab/>
      </w:r>
    </w:p>
    <w:sectPr w:rsidR="004258FC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47A9" w14:textId="77777777" w:rsidR="004258FC" w:rsidRDefault="00B666BA">
      <w:r>
        <w:separator/>
      </w:r>
    </w:p>
  </w:endnote>
  <w:endnote w:type="continuationSeparator" w:id="0">
    <w:p w14:paraId="6761EDAD" w14:textId="77777777" w:rsidR="004258FC" w:rsidRDefault="00B666BA">
      <w:r>
        <w:continuationSeparator/>
      </w:r>
    </w:p>
  </w:endnote>
  <w:endnote w:type="continuationNotice" w:id="1">
    <w:p w14:paraId="0557AAC9" w14:textId="77777777" w:rsidR="004258FC" w:rsidRDefault="00425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77777777" w:rsidR="004258FC" w:rsidRDefault="00B666BA">
    <w:pPr>
      <w:pStyle w:val="Voettekst"/>
    </w:pPr>
    <w:r>
      <w:object w:dxaOrig="1440" w:dyaOrig="1440" w14:anchorId="25AAB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6466509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2446" w14:textId="77777777" w:rsidR="004258FC" w:rsidRDefault="00B666BA">
      <w:r>
        <w:separator/>
      </w:r>
    </w:p>
  </w:footnote>
  <w:footnote w:type="continuationSeparator" w:id="0">
    <w:p w14:paraId="4916E04F" w14:textId="77777777" w:rsidR="004258FC" w:rsidRDefault="00B666BA">
      <w:r>
        <w:continuationSeparator/>
      </w:r>
    </w:p>
  </w:footnote>
  <w:footnote w:type="continuationNotice" w:id="1">
    <w:p w14:paraId="05D9B56D" w14:textId="77777777" w:rsidR="004258FC" w:rsidRDefault="00425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 w:rsidR="004258FC" w:rsidRDefault="00B66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 w:rsidR="004258FC" w:rsidRDefault="00B66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D077C29"/>
    <w:multiLevelType w:val="hybridMultilevel"/>
    <w:tmpl w:val="0C92B7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3"/>
  </w:num>
  <w:num w:numId="4" w16cid:durableId="2043508135">
    <w:abstractNumId w:val="4"/>
  </w:num>
  <w:num w:numId="5" w16cid:durableId="197829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034D1"/>
    <w:rsid w:val="00006E2C"/>
    <w:rsid w:val="00011B1B"/>
    <w:rsid w:val="00013E09"/>
    <w:rsid w:val="000142BC"/>
    <w:rsid w:val="00017BF1"/>
    <w:rsid w:val="0002147E"/>
    <w:rsid w:val="000225BB"/>
    <w:rsid w:val="00023AEC"/>
    <w:rsid w:val="00032AD4"/>
    <w:rsid w:val="000400D3"/>
    <w:rsid w:val="0004754E"/>
    <w:rsid w:val="00053C13"/>
    <w:rsid w:val="00062EB6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0E26"/>
    <w:rsid w:val="001132CD"/>
    <w:rsid w:val="0011726D"/>
    <w:rsid w:val="00117554"/>
    <w:rsid w:val="00125D74"/>
    <w:rsid w:val="00126101"/>
    <w:rsid w:val="00130D42"/>
    <w:rsid w:val="00130F6B"/>
    <w:rsid w:val="00131313"/>
    <w:rsid w:val="00140F97"/>
    <w:rsid w:val="00147FB2"/>
    <w:rsid w:val="0015158B"/>
    <w:rsid w:val="00165C47"/>
    <w:rsid w:val="001707C2"/>
    <w:rsid w:val="00171A14"/>
    <w:rsid w:val="001722FA"/>
    <w:rsid w:val="00180E4E"/>
    <w:rsid w:val="00183DF2"/>
    <w:rsid w:val="00184CB3"/>
    <w:rsid w:val="00194556"/>
    <w:rsid w:val="0019696F"/>
    <w:rsid w:val="001A161B"/>
    <w:rsid w:val="001A58D2"/>
    <w:rsid w:val="001B262B"/>
    <w:rsid w:val="001C5E46"/>
    <w:rsid w:val="001C6CD5"/>
    <w:rsid w:val="001C7CE2"/>
    <w:rsid w:val="001D20C5"/>
    <w:rsid w:val="001D2A39"/>
    <w:rsid w:val="001D4AE9"/>
    <w:rsid w:val="001E4035"/>
    <w:rsid w:val="001E51BD"/>
    <w:rsid w:val="0020404B"/>
    <w:rsid w:val="00224915"/>
    <w:rsid w:val="002317A6"/>
    <w:rsid w:val="00231E0D"/>
    <w:rsid w:val="002561FE"/>
    <w:rsid w:val="0025674D"/>
    <w:rsid w:val="00262B41"/>
    <w:rsid w:val="0026458D"/>
    <w:rsid w:val="002667C5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3212"/>
    <w:rsid w:val="003147FE"/>
    <w:rsid w:val="00315CDA"/>
    <w:rsid w:val="00316D78"/>
    <w:rsid w:val="00322422"/>
    <w:rsid w:val="00324363"/>
    <w:rsid w:val="003300F9"/>
    <w:rsid w:val="00330F3E"/>
    <w:rsid w:val="0034358D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258FC"/>
    <w:rsid w:val="00427EDA"/>
    <w:rsid w:val="00432BD8"/>
    <w:rsid w:val="00433A78"/>
    <w:rsid w:val="00444547"/>
    <w:rsid w:val="004506D8"/>
    <w:rsid w:val="00456B5C"/>
    <w:rsid w:val="00456FCD"/>
    <w:rsid w:val="0046635F"/>
    <w:rsid w:val="0047077E"/>
    <w:rsid w:val="00472D23"/>
    <w:rsid w:val="004765EC"/>
    <w:rsid w:val="0048079C"/>
    <w:rsid w:val="00482E57"/>
    <w:rsid w:val="00496EAC"/>
    <w:rsid w:val="004A1BBA"/>
    <w:rsid w:val="004A21B3"/>
    <w:rsid w:val="004A2482"/>
    <w:rsid w:val="004A2FAC"/>
    <w:rsid w:val="004A4F6C"/>
    <w:rsid w:val="004A6867"/>
    <w:rsid w:val="004B0F46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C71B8"/>
    <w:rsid w:val="005D3B30"/>
    <w:rsid w:val="005D4123"/>
    <w:rsid w:val="005D6060"/>
    <w:rsid w:val="005D77D6"/>
    <w:rsid w:val="005E236A"/>
    <w:rsid w:val="005E5121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5F13"/>
    <w:rsid w:val="00666676"/>
    <w:rsid w:val="00670BE1"/>
    <w:rsid w:val="006721E0"/>
    <w:rsid w:val="00672A63"/>
    <w:rsid w:val="00682314"/>
    <w:rsid w:val="006919CA"/>
    <w:rsid w:val="006A3B32"/>
    <w:rsid w:val="006A53D4"/>
    <w:rsid w:val="006A60BC"/>
    <w:rsid w:val="006B1D69"/>
    <w:rsid w:val="006C113F"/>
    <w:rsid w:val="006C1C44"/>
    <w:rsid w:val="006C7820"/>
    <w:rsid w:val="006D1889"/>
    <w:rsid w:val="006E2614"/>
    <w:rsid w:val="006F4025"/>
    <w:rsid w:val="006F4B70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53EAB"/>
    <w:rsid w:val="00762B69"/>
    <w:rsid w:val="007663BA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4760"/>
    <w:rsid w:val="0081547B"/>
    <w:rsid w:val="008155DE"/>
    <w:rsid w:val="008162F7"/>
    <w:rsid w:val="00816326"/>
    <w:rsid w:val="008223D9"/>
    <w:rsid w:val="008238A3"/>
    <w:rsid w:val="00832D44"/>
    <w:rsid w:val="00841DF8"/>
    <w:rsid w:val="008467F2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D555E"/>
    <w:rsid w:val="008E045F"/>
    <w:rsid w:val="008E0F88"/>
    <w:rsid w:val="008E177A"/>
    <w:rsid w:val="008E1913"/>
    <w:rsid w:val="008F783A"/>
    <w:rsid w:val="00901008"/>
    <w:rsid w:val="00901B25"/>
    <w:rsid w:val="00911456"/>
    <w:rsid w:val="0091271D"/>
    <w:rsid w:val="00912B76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70360"/>
    <w:rsid w:val="00981727"/>
    <w:rsid w:val="00985229"/>
    <w:rsid w:val="00986062"/>
    <w:rsid w:val="00986423"/>
    <w:rsid w:val="009A19D3"/>
    <w:rsid w:val="009B4CB1"/>
    <w:rsid w:val="009B577C"/>
    <w:rsid w:val="009C12AA"/>
    <w:rsid w:val="009C3861"/>
    <w:rsid w:val="009C3DF2"/>
    <w:rsid w:val="009D0F79"/>
    <w:rsid w:val="009D727A"/>
    <w:rsid w:val="009E1DD4"/>
    <w:rsid w:val="009E57C5"/>
    <w:rsid w:val="009E596D"/>
    <w:rsid w:val="009F4DB7"/>
    <w:rsid w:val="00A02013"/>
    <w:rsid w:val="00A17CB6"/>
    <w:rsid w:val="00A20E89"/>
    <w:rsid w:val="00A241A7"/>
    <w:rsid w:val="00A24F91"/>
    <w:rsid w:val="00A30B00"/>
    <w:rsid w:val="00A32877"/>
    <w:rsid w:val="00A44163"/>
    <w:rsid w:val="00A51CF4"/>
    <w:rsid w:val="00A528C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E4652"/>
    <w:rsid w:val="00AE64E6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6BA"/>
    <w:rsid w:val="00B6699B"/>
    <w:rsid w:val="00B7224D"/>
    <w:rsid w:val="00B73EE9"/>
    <w:rsid w:val="00B7464F"/>
    <w:rsid w:val="00B75809"/>
    <w:rsid w:val="00B84255"/>
    <w:rsid w:val="00B84819"/>
    <w:rsid w:val="00BA3380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4FC"/>
    <w:rsid w:val="00C538B7"/>
    <w:rsid w:val="00C56339"/>
    <w:rsid w:val="00C57B21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05CB"/>
    <w:rsid w:val="00CC1FAA"/>
    <w:rsid w:val="00D117C8"/>
    <w:rsid w:val="00D127EF"/>
    <w:rsid w:val="00D14539"/>
    <w:rsid w:val="00D165E8"/>
    <w:rsid w:val="00D17E09"/>
    <w:rsid w:val="00D31961"/>
    <w:rsid w:val="00D35380"/>
    <w:rsid w:val="00D353C2"/>
    <w:rsid w:val="00D36715"/>
    <w:rsid w:val="00D40733"/>
    <w:rsid w:val="00D41616"/>
    <w:rsid w:val="00D42EB9"/>
    <w:rsid w:val="00D4334A"/>
    <w:rsid w:val="00D44B4A"/>
    <w:rsid w:val="00D5484E"/>
    <w:rsid w:val="00D57AFA"/>
    <w:rsid w:val="00D65D10"/>
    <w:rsid w:val="00D67AF0"/>
    <w:rsid w:val="00D70D92"/>
    <w:rsid w:val="00D71480"/>
    <w:rsid w:val="00D8138D"/>
    <w:rsid w:val="00D86BCA"/>
    <w:rsid w:val="00D87B42"/>
    <w:rsid w:val="00DA5199"/>
    <w:rsid w:val="00DC2B0D"/>
    <w:rsid w:val="00DC6B6A"/>
    <w:rsid w:val="00DD6E65"/>
    <w:rsid w:val="00DD7653"/>
    <w:rsid w:val="00DF0780"/>
    <w:rsid w:val="00E031D8"/>
    <w:rsid w:val="00E070A5"/>
    <w:rsid w:val="00E120D7"/>
    <w:rsid w:val="00E31CF0"/>
    <w:rsid w:val="00E47FDB"/>
    <w:rsid w:val="00E50645"/>
    <w:rsid w:val="00E56588"/>
    <w:rsid w:val="00E625BC"/>
    <w:rsid w:val="00E67D7C"/>
    <w:rsid w:val="00E7790E"/>
    <w:rsid w:val="00E9130D"/>
    <w:rsid w:val="00E979A9"/>
    <w:rsid w:val="00E97C1B"/>
    <w:rsid w:val="00EA528E"/>
    <w:rsid w:val="00EA62EA"/>
    <w:rsid w:val="00EA72DD"/>
    <w:rsid w:val="00EB0BA8"/>
    <w:rsid w:val="00EC04C9"/>
    <w:rsid w:val="00EC7830"/>
    <w:rsid w:val="00ED3192"/>
    <w:rsid w:val="00EE0612"/>
    <w:rsid w:val="00EE0AE7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72FE"/>
    <w:rsid w:val="00FD6280"/>
    <w:rsid w:val="00FE1A71"/>
    <w:rsid w:val="00FE2AA3"/>
    <w:rsid w:val="00FF1C54"/>
    <w:rsid w:val="00FF4D20"/>
    <w:rsid w:val="0262FCB0"/>
    <w:rsid w:val="0F9FFFA8"/>
    <w:rsid w:val="23108A17"/>
    <w:rsid w:val="310E8674"/>
    <w:rsid w:val="440E55D6"/>
    <w:rsid w:val="444B93BC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  <w:style w:type="paragraph" w:customStyle="1" w:styleId="P68B1DB1-Kop51">
    <w:name w:val="P68B1DB1-Kop51"/>
    <w:basedOn w:val="Kop5"/>
    <w:rPr>
      <w:rFonts w:asciiTheme="minorHAnsi" w:hAnsiTheme="minorHAnsi"/>
    </w:rPr>
  </w:style>
  <w:style w:type="paragraph" w:customStyle="1" w:styleId="P68B1DB1-Standaard2">
    <w:name w:val="P68B1DB1-Standaard2"/>
    <w:basedOn w:val="Standaard"/>
    <w:rPr>
      <w:rFonts w:asciiTheme="minorHAnsi" w:hAnsiTheme="minorHAnsi"/>
    </w:rPr>
  </w:style>
  <w:style w:type="paragraph" w:customStyle="1" w:styleId="P68B1DB1-Standaard3">
    <w:name w:val="P68B1DB1-Standaard3"/>
    <w:basedOn w:val="Standaard"/>
    <w:rPr>
      <w:color w:val="008080"/>
    </w:rPr>
  </w:style>
  <w:style w:type="paragraph" w:customStyle="1" w:styleId="P68B1DB1-OFWEL4">
    <w:name w:val="P68B1DB1-OFWEL4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23F82-54AF-4155-88C6-E927E414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78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96</cp:revision>
  <cp:lastPrinted>2016-03-22T16:03:00Z</cp:lastPrinted>
  <dcterms:created xsi:type="dcterms:W3CDTF">2023-12-12T12:27:00Z</dcterms:created>
  <dcterms:modified xsi:type="dcterms:W3CDTF">2023-12-21T10:59:00Z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