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6D16" w14:textId="0E27C9D2">
      <w:pPr>
        <w:pStyle w:val="Kop3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>
        <w:t>00.00.00</w:t>
        <w:tab/>
        <w:t xml:space="preserve">Self-regulating sound absorbing and fire-resistant window ventilator</w:t>
      </w:r>
      <w:r>
        <w:rPr>
          <w:rStyle w:val="MeetChar"/>
        </w:rPr>
        <w:t xml:space="preserve">  VH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 xml:space="preserve">DUCO Ventilation &amp; Sun Control - FireMax EI 30 SR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6BDFF7" w14:textId="77777777">
      <w:pPr>
        <w:pStyle w:val="Kop5"/>
      </w:pPr>
      <w:r>
        <w:t>Description:</w:t>
      </w:r>
    </w:p>
    <w:p w14:paraId="59FECE42" w14:textId="2D51FF57">
      <w:r>
        <w:rPr>
          <w:rStyle w:val="MerkChar"/>
        </w:rPr>
        <w:t xml:space="preserve">FireMax EI 30 SR</w:t>
      </w:r>
      <w:r>
        <w:t xml:space="preserve">, thermally insulated aluminium, fire-resistant and sound absorbing window ventilator.</w:t>
      </w:r>
    </w:p>
    <w:p w14:paraId="1F3B8ECC" w14:textId="77777777"/>
    <w:p w14:paraId="4AE1F343" w14:textId="77777777">
      <w:r>
        <w:t xml:space="preserve">Suitable for mounting on glass.</w:t>
      </w:r>
    </w:p>
    <w:p w14:paraId="593E324C" w14:textId="77777777">
      <w:r>
        <w:t xml:space="preserve">Inner cover: removable, washable and punched.</w:t>
      </w:r>
    </w:p>
    <w:p w14:paraId="50DDE7DD" w14:textId="77777777">
      <w:r>
        <w:t xml:space="preserve">Achieved fire technical values:</w:t>
      </w:r>
    </w:p>
    <w:p w14:paraId="3A9775EA" w14:textId="180C7FBD">
      <w:pPr>
        <w:pStyle w:val="Lijstalinea"/>
        <w:numPr>
          <w:ilvl w:val="0"/>
          <w:numId w:val="5"/>
        </w:numPr>
      </w:pPr>
      <w:r>
        <w:t xml:space="preserve">Thermal insulation: EI 1 30</w:t>
      </w:r>
    </w:p>
    <w:p w14:paraId="1C33888F" w14:textId="778EC42B">
      <w:pPr>
        <w:pStyle w:val="Lijstalinea"/>
        <w:numPr>
          <w:ilvl w:val="0"/>
          <w:numId w:val="5"/>
        </w:numPr>
      </w:pPr>
      <w:r>
        <w:t xml:space="preserve">Flame density: E30</w:t>
      </w:r>
    </w:p>
    <w:p w14:paraId="539AFABF" w14:textId="5AE32195">
      <w:pPr>
        <w:pStyle w:val="Lijstalinea"/>
        <w:numPr>
          <w:ilvl w:val="0"/>
          <w:numId w:val="5"/>
        </w:numPr>
      </w:pPr>
      <w:r>
        <w:t xml:space="preserve">Heat radiation: EW30</w:t>
      </w:r>
    </w:p>
    <w:p w14:paraId="56F8B59A" w14:textId="77777777">
      <w:r>
        <w:t xml:space="preserve">The self-regulating flap ensures energy gain and a constant flow rate.</w:t>
      </w:r>
    </w:p>
    <w:p w14:paraId="1E5BC6C4" w14:textId="77777777">
      <w:r>
        <w:t xml:space="preserve">Operation: is infinitely adjustable.</w:t>
      </w:r>
    </w:p>
    <w:p w14:paraId="41E4FD4F" w14:textId="77777777">
      <w:r>
        <w:t xml:space="preserve">Open|closed position is visible thanks to a green/red indication.</w:t>
      </w:r>
    </w:p>
    <w:p w14:paraId="08D68AB5" w14:textId="77777777">
      <w:r>
        <w:t xml:space="preserve">Damping material: for light noise situations.</w:t>
      </w:r>
    </w:p>
    <w:p w14:paraId="2993EE6A" w14:textId="77777777"/>
    <w:p w14:paraId="2B2E15E0" w14:textId="77777777">
      <w:pPr>
        <w:pStyle w:val="Kop5"/>
      </w:pPr>
      <w:r>
        <w:t>Material:</w:t>
      </w:r>
    </w:p>
    <w:p w14:paraId="220A0326" w14:textId="6948485C">
      <w:r>
        <w:t xml:space="preserve">Aluminium: EN AW - 6063 T66, 304 stainless steel</w:t>
      </w:r>
    </w:p>
    <w:p w14:paraId="702D8823" w14:textId="582EC902">
      <w:r>
        <w:t xml:space="preserve">Plastic parts: ABS and PVC (impact-resistant, colourfast and weatherproof)</w:t>
      </w:r>
    </w:p>
    <w:p w14:paraId="58CB2160" w14:textId="3AA3A954">
      <w:r>
        <w:t xml:space="preserve">Fire resistant strip</w:t>
      </w:r>
    </w:p>
    <w:p w14:paraId="1DCC9CF4" w14:textId="77777777"/>
    <w:p w14:paraId="68D8AE75" w14:textId="776E03CB">
      <w:pPr>
        <w:pStyle w:val="Kop5"/>
      </w:pPr>
      <w:r>
        <w:t xml:space="preserve">Surface treatment:</w:t>
      </w:r>
    </w:p>
    <w:p w14:paraId="5BA9A202" w14:textId="3EEC68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</w:rPr>
      </w:pPr>
      <w:r>
        <w:rPr>
          <w:rStyle w:val="normaltextrun"/>
          <w:rFonts w:ascii="Calibri" w:hAnsi="Calibri" w:cs="Calibri"/>
          <w:sz w:val="20"/>
        </w:rPr>
        <w:t xml:space="preserve">Powder coating (enamelled polyester powder coating): according to Qualicoat Seaside type A, layer thickness 60-80 µm</w:t>
      </w:r>
    </w:p>
    <w:p w14:paraId="1914FB15" w14:textId="77777777"/>
    <w:p w14:paraId="478DAC2E" w14:textId="057F3EE3">
      <w:pPr>
        <w:pStyle w:val="Kop5"/>
      </w:pPr>
      <w:r>
        <w:t xml:space="preserve">Available colours:</w:t>
      </w:r>
    </w:p>
    <w:p w14:paraId="211332E9" w14:textId="0E71E65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 xml:space="preserve">Standard RAL colours 70% gloss (except RAL 9010: 90% gloss); matt 30% gloss; fine-textured</w:t>
      </w:r>
    </w:p>
    <w:p w14:paraId="7894D215" w14:textId="429D359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DAR</w:t>
      </w:r>
    </w:p>
    <w:p w14:paraId="004C6DBD" w14:textId="241EF532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Bi-colour</w:t>
      </w:r>
    </w:p>
    <w:p w14:paraId="09A2E70D" w14:textId="775FFC2A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 xml:space="preserve">Possible end-piece colours: white/black</w:t>
      </w:r>
    </w:p>
    <w:p w14:paraId="3AB9F011" w14:textId="77777777"/>
    <w:p w14:paraId="7D0BCDA8" w14:textId="77777777">
      <w:pPr>
        <w:pStyle w:val="P68B1DB1-Kop51"/>
        <w:rPr>
          <w:rFonts w:asciiTheme="minorHAnsi" w:hAnsiTheme="minorHAnsi"/>
        </w:rPr>
      </w:pPr>
      <w:r>
        <w:t xml:space="preserve">Technical specifications</w:t>
      </w:r>
    </w:p>
    <w:p w14:paraId="48DDAE40" w14:textId="0167D591">
      <w:pPr>
        <w:rPr>
          <w:rStyle w:val="MerkChar"/>
        </w:rPr>
      </w:pPr>
      <w:r>
        <w:t xml:space="preserve">Ventilation values </w:t>
      </w:r>
      <w:r>
        <w:rPr>
          <w:rStyle w:val="MerkChar"/>
        </w:rPr>
        <w:t xml:space="preserve">FireMax EI 30 SR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1408"/>
        <w:gridCol w:w="1277"/>
        <w:gridCol w:w="1273"/>
        <w:gridCol w:w="1389"/>
        <w:gridCol w:w="1938"/>
        <w:gridCol w:w="1279"/>
      </w:tblGrid>
      <w:tr w14:paraId="272296AB" w14:textId="77777777">
        <w:trPr>
          <w:trHeight w:val="455"/>
          <w:jc w:val="center"/>
        </w:trPr>
        <w:tc>
          <w:tcPr>
            <w:tcW w:w="621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4C3E6186" w14:textId="77777777">
            <w:pPr>
              <w:pStyle w:val="P68B1DB1-Standaard2"/>
              <w:jc w:val="center"/>
            </w:pPr>
            <w:r>
              <w:t xml:space="preserve">Air slot</w:t>
            </w:r>
          </w:p>
        </w:tc>
        <w:tc>
          <w:tcPr>
            <w:tcW w:w="1373" w:type="pct"/>
            <w:gridSpan w:val="2"/>
            <w:shd w:val="clear" w:color="auto" w:fill="D6E3BC" w:themeFill="accent3" w:themeFillTint="66"/>
            <w:noWrap/>
            <w:vAlign w:val="center"/>
            <w:hideMark/>
          </w:tcPr>
          <w:p w14:paraId="10302920" w14:textId="77777777">
            <w:pPr>
              <w:pStyle w:val="P68B1DB1-Standaard2"/>
              <w:jc w:val="center"/>
            </w:pPr>
            <w:r>
              <w:t xml:space="preserve">Airflow (Q) in l/s/m at...</w:t>
            </w:r>
          </w:p>
        </w:tc>
        <w:tc>
          <w:tcPr>
            <w:tcW w:w="1361" w:type="pct"/>
            <w:gridSpan w:val="2"/>
            <w:shd w:val="clear" w:color="auto" w:fill="D6E3BC" w:themeFill="accent3" w:themeFillTint="66"/>
            <w:vAlign w:val="center"/>
            <w:hideMark/>
          </w:tcPr>
          <w:p w14:paraId="22A66321" w14:textId="77777777">
            <w:pPr>
              <w:pStyle w:val="P68B1DB1-Standaard2"/>
              <w:jc w:val="center"/>
            </w:pPr>
            <w:r>
              <w:t xml:space="preserve">Airflow (Q) in m3/h/m at...</w:t>
            </w:r>
          </w:p>
        </w:tc>
        <w:tc>
          <w:tcPr>
            <w:tcW w:w="991" w:type="pct"/>
            <w:vMerge w:val="restart"/>
            <w:shd w:val="clear" w:color="auto" w:fill="D6E3BC" w:themeFill="accent3" w:themeFillTint="66"/>
            <w:noWrap/>
            <w:vAlign w:val="center"/>
          </w:tcPr>
          <w:p w14:paraId="6435ACCC" w14:textId="77777777">
            <w:pPr>
              <w:pStyle w:val="P68B1DB1-Standaard2"/>
              <w:jc w:val="center"/>
            </w:pPr>
            <w:r>
              <w:t xml:space="preserve">Equivalent area</w:t>
            </w:r>
          </w:p>
          <w:p w14:paraId="7A32F6B5" w14:textId="77777777">
            <w:pPr>
              <w:pStyle w:val="P68B1DB1-Standaard2"/>
              <w:jc w:val="center"/>
            </w:pPr>
            <w:r>
              <w:t xml:space="preserve">at 1 Pa</w:t>
            </w:r>
          </w:p>
          <w:p w14:paraId="102F6D7A" w14:textId="77777777">
            <w:pPr>
              <w:pStyle w:val="P68B1DB1-P68B1DB1-Standaard22"/>
              <w:jc w:val="center"/>
              <w:rPr>
                <w:vertAlign w:val="subscript"/>
              </w:rPr>
            </w:pPr>
            <w:r>
              <w:t xml:space="preserve">in mm²/m</w:t>
            </w:r>
          </w:p>
        </w:tc>
        <w:tc>
          <w:tcPr>
            <w:tcW w:w="654" w:type="pct"/>
            <w:vMerge w:val="restart"/>
            <w:shd w:val="clear" w:color="auto" w:fill="D6E3BC" w:themeFill="accent3" w:themeFillTint="66"/>
            <w:vAlign w:val="center"/>
          </w:tcPr>
          <w:p w14:paraId="06878E35" w14:textId="77777777">
            <w:pPr>
              <w:pStyle w:val="P68B1DB1-Standaard2"/>
              <w:jc w:val="center"/>
            </w:pPr>
            <w:r>
              <w:t xml:space="preserve">Geometrical Free Area</w:t>
            </w:r>
          </w:p>
          <w:p w14:paraId="1967332A" w14:textId="77777777">
            <w:pPr>
              <w:pStyle w:val="P68B1DB1-P68B1DB1-Standaard22"/>
              <w:jc w:val="center"/>
              <w:rPr>
                <w:vertAlign w:val="subscript"/>
              </w:rPr>
            </w:pPr>
            <w:r>
              <w:t xml:space="preserve">in mm²/m</w:t>
            </w:r>
          </w:p>
        </w:tc>
      </w:tr>
      <w:tr w14:paraId="385CA0E0" w14:textId="77777777">
        <w:trPr>
          <w:trHeight w:val="926"/>
          <w:jc w:val="center"/>
        </w:trPr>
        <w:tc>
          <w:tcPr>
            <w:tcW w:w="621" w:type="pct"/>
            <w:vMerge/>
            <w:vAlign w:val="center"/>
            <w:hideMark/>
          </w:tcPr>
          <w:p w14:paraId="74FAF1BD" w14:textId="7777777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20" w:type="pct"/>
            <w:shd w:val="clear" w:color="auto" w:fill="D6E3BC" w:themeFill="accent3" w:themeFillTint="66"/>
            <w:vAlign w:val="center"/>
            <w:hideMark/>
          </w:tcPr>
          <w:p w14:paraId="5A18D4C6" w14:textId="77777777">
            <w:pPr>
              <w:jc w:val="center"/>
              <w:rPr>
                <w:rFonts w:cs="Arial"/>
                <w:color w:val="000000"/>
              </w:rPr>
              <w:pStyle w:val="P68B1DB1-Standaard2"/>
            </w:pPr>
            <w:r>
              <w:t xml:space="preserve">2 Pa</w:t>
            </w:r>
          </w:p>
        </w:tc>
        <w:tc>
          <w:tcPr>
            <w:tcW w:w="653" w:type="pct"/>
            <w:shd w:val="clear" w:color="auto" w:fill="D6E3BC" w:themeFill="accent3" w:themeFillTint="66"/>
            <w:vAlign w:val="center"/>
          </w:tcPr>
          <w:p w14:paraId="05A7862D" w14:textId="77777777">
            <w:pPr>
              <w:jc w:val="center"/>
              <w:rPr>
                <w:rFonts w:cs="Arial"/>
                <w:color w:val="000000"/>
              </w:rPr>
              <w:pStyle w:val="P68B1DB1-Standaard2"/>
            </w:pPr>
            <w:r>
              <w:t xml:space="preserve">10 Pa</w:t>
            </w:r>
          </w:p>
        </w:tc>
        <w:tc>
          <w:tcPr>
            <w:tcW w:w="651" w:type="pct"/>
            <w:shd w:val="clear" w:color="auto" w:fill="D6E3BC" w:themeFill="accent3" w:themeFillTint="66"/>
            <w:vAlign w:val="center"/>
          </w:tcPr>
          <w:p w14:paraId="06D32273" w14:textId="77777777">
            <w:pPr>
              <w:pStyle w:val="P68B1DB1-Standaard2"/>
              <w:jc w:val="center"/>
            </w:pPr>
            <w:r>
              <w:t xml:space="preserve">2 Pa</w:t>
            </w:r>
          </w:p>
        </w:tc>
        <w:tc>
          <w:tcPr>
            <w:tcW w:w="710" w:type="pct"/>
            <w:shd w:val="clear" w:color="auto" w:fill="D6E3BC" w:themeFill="accent3" w:themeFillTint="66"/>
            <w:vAlign w:val="center"/>
          </w:tcPr>
          <w:p w14:paraId="6CDD4ECC" w14:textId="77777777">
            <w:pPr>
              <w:pStyle w:val="P68B1DB1-Standaard2"/>
              <w:jc w:val="center"/>
            </w:pPr>
            <w:r>
              <w:t xml:space="preserve">10 Pa</w:t>
            </w:r>
          </w:p>
        </w:tc>
        <w:tc>
          <w:tcPr>
            <w:tcW w:w="991" w:type="pct"/>
            <w:vMerge/>
            <w:noWrap/>
            <w:vAlign w:val="center"/>
            <w:hideMark/>
          </w:tcPr>
          <w:p w14:paraId="0124CAB8" w14:textId="77777777">
            <w:pPr>
              <w:pStyle w:val="P68B1DB1-Standaard2"/>
              <w:jc w:val="center"/>
            </w:pPr>
          </w:p>
        </w:tc>
        <w:tc>
          <w:tcPr>
            <w:tcW w:w="654" w:type="pct"/>
            <w:vMerge/>
          </w:tcPr>
          <w:p w14:paraId="7B81A9D1" w14:textId="77777777">
            <w:pPr>
              <w:pStyle w:val="P68B1DB1-Standaard2"/>
              <w:jc w:val="center"/>
            </w:pPr>
          </w:p>
        </w:tc>
      </w:tr>
      <w:tr w14:paraId="0A815974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AB92F3D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15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6D56192A" w14:textId="119282B0">
            <w:pPr>
              <w:pStyle w:val="P68B1DB1-Standaard2"/>
              <w:jc w:val="center"/>
            </w:pPr>
            <w:r>
              <w:t>18,2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B105094" w14:textId="2C326E03">
            <w:pPr>
              <w:pStyle w:val="P68B1DB1-Standaard2"/>
              <w:jc w:val="center"/>
            </w:pPr>
            <w:r>
              <w:t>16,8</w:t>
            </w:r>
          </w:p>
        </w:tc>
        <w:tc>
          <w:tcPr>
            <w:tcW w:w="651" w:type="pct"/>
            <w:shd w:val="clear" w:color="auto" w:fill="auto"/>
            <w:noWrap/>
          </w:tcPr>
          <w:p w14:paraId="5BEFFC08" w14:textId="3BF07E08">
            <w:pPr>
              <w:pStyle w:val="P68B1DB1-Standaard2"/>
              <w:jc w:val="center"/>
            </w:pPr>
            <w:r>
              <w:t>65,6</w:t>
            </w:r>
          </w:p>
        </w:tc>
        <w:tc>
          <w:tcPr>
            <w:tcW w:w="710" w:type="pct"/>
            <w:shd w:val="clear" w:color="auto" w:fill="auto"/>
          </w:tcPr>
          <w:p w14:paraId="20A49693" w14:textId="76F7A90B">
            <w:pPr>
              <w:pStyle w:val="P68B1DB1-Standaard2"/>
              <w:jc w:val="center"/>
            </w:pPr>
            <w:r>
              <w:t>60,3</w:t>
            </w:r>
          </w:p>
        </w:tc>
        <w:tc>
          <w:tcPr>
            <w:tcW w:w="991" w:type="pct"/>
            <w:shd w:val="clear" w:color="auto" w:fill="auto"/>
            <w:noWrap/>
          </w:tcPr>
          <w:p w14:paraId="65314CCF" w14:textId="748EDD9C">
            <w:pPr>
              <w:pStyle w:val="P68B1DB1-Standaard2"/>
              <w:jc w:val="center"/>
            </w:pPr>
            <w:r>
              <w:t>20232,8</w:t>
            </w:r>
          </w:p>
        </w:tc>
        <w:tc>
          <w:tcPr>
            <w:tcW w:w="654" w:type="pct"/>
          </w:tcPr>
          <w:p w14:paraId="2F5C7F03" w14:textId="77777777">
            <w:pPr>
              <w:pStyle w:val="P68B1DB1-Standaard2"/>
              <w:jc w:val="center"/>
            </w:pPr>
            <w:r>
              <w:t>15000</w:t>
            </w:r>
          </w:p>
        </w:tc>
      </w:tr>
      <w:tr w14:paraId="6EC3ADC1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</w:tcPr>
          <w:p w14:paraId="1F5175EF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20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13260D8C" w14:textId="07165D96">
            <w:pPr>
              <w:pStyle w:val="P68B1DB1-Standaard2"/>
              <w:jc w:val="center"/>
            </w:pPr>
            <w:r>
              <w:t>24,6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5E25E6B" w14:textId="347AD42E">
            <w:pPr>
              <w:pStyle w:val="P68B1DB1-Standaard2"/>
              <w:jc w:val="center"/>
            </w:pPr>
            <w:r>
              <w:t>20,7</w:t>
            </w:r>
          </w:p>
        </w:tc>
        <w:tc>
          <w:tcPr>
            <w:tcW w:w="651" w:type="pct"/>
            <w:shd w:val="clear" w:color="auto" w:fill="auto"/>
            <w:noWrap/>
          </w:tcPr>
          <w:p w14:paraId="484D0F4E" w14:textId="2F78131F">
            <w:pPr>
              <w:pStyle w:val="P68B1DB1-Standaard2"/>
              <w:jc w:val="center"/>
            </w:pPr>
            <w:r>
              <w:t>88,4</w:t>
            </w:r>
          </w:p>
        </w:tc>
        <w:tc>
          <w:tcPr>
            <w:tcW w:w="710" w:type="pct"/>
            <w:shd w:val="clear" w:color="auto" w:fill="auto"/>
          </w:tcPr>
          <w:p w14:paraId="4F50F468" w14:textId="350D6E88">
            <w:pPr>
              <w:pStyle w:val="P68B1DB1-Standaard2"/>
              <w:jc w:val="center"/>
            </w:pPr>
            <w:r>
              <w:t>74,6</w:t>
            </w:r>
          </w:p>
        </w:tc>
        <w:tc>
          <w:tcPr>
            <w:tcW w:w="991" w:type="pct"/>
            <w:shd w:val="clear" w:color="auto" w:fill="auto"/>
            <w:noWrap/>
          </w:tcPr>
          <w:p w14:paraId="6FBD2826" w14:textId="371601A4">
            <w:pPr>
              <w:pStyle w:val="P68B1DB1-Standaard2"/>
              <w:jc w:val="center"/>
            </w:pPr>
            <w:r>
              <w:t>26849,8</w:t>
            </w:r>
          </w:p>
        </w:tc>
        <w:tc>
          <w:tcPr>
            <w:tcW w:w="654" w:type="pct"/>
          </w:tcPr>
          <w:p w14:paraId="46BA2900" w14:textId="77777777">
            <w:pPr>
              <w:pStyle w:val="P68B1DB1-Standaard2"/>
              <w:jc w:val="center"/>
            </w:pPr>
            <w:r>
              <w:t>20000</w:t>
            </w:r>
          </w:p>
        </w:tc>
      </w:tr>
      <w:tr w14:paraId="65571395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</w:tcPr>
          <w:p w14:paraId="63EDAD43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25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301CCFC3" w14:textId="6D6F9E83">
            <w:pPr>
              <w:pStyle w:val="P68B1DB1-Standaard2"/>
              <w:jc w:val="center"/>
            </w:pPr>
            <w:r>
              <w:t>30,4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5B3F4F" w14:textId="3476E0FC">
            <w:pPr>
              <w:pStyle w:val="P68B1DB1-Standaard2"/>
              <w:jc w:val="center"/>
            </w:pPr>
            <w:r>
              <w:t>27,6</w:t>
            </w:r>
          </w:p>
        </w:tc>
        <w:tc>
          <w:tcPr>
            <w:tcW w:w="651" w:type="pct"/>
            <w:shd w:val="clear" w:color="auto" w:fill="auto"/>
            <w:noWrap/>
          </w:tcPr>
          <w:p w14:paraId="3398A0E0" w14:textId="10A927A9">
            <w:pPr>
              <w:pStyle w:val="P68B1DB1-Standaard2"/>
              <w:jc w:val="center"/>
            </w:pPr>
            <w:r>
              <w:t>109,3</w:t>
            </w:r>
          </w:p>
        </w:tc>
        <w:tc>
          <w:tcPr>
            <w:tcW w:w="710" w:type="pct"/>
            <w:shd w:val="clear" w:color="auto" w:fill="auto"/>
          </w:tcPr>
          <w:p w14:paraId="01608FCA" w14:textId="132D32AE">
            <w:pPr>
              <w:pStyle w:val="P68B1DB1-Standaard2"/>
              <w:jc w:val="center"/>
            </w:pPr>
            <w:r>
              <w:t>99,3</w:t>
            </w:r>
          </w:p>
        </w:tc>
        <w:tc>
          <w:tcPr>
            <w:tcW w:w="991" w:type="pct"/>
            <w:shd w:val="clear" w:color="auto" w:fill="auto"/>
            <w:noWrap/>
          </w:tcPr>
          <w:p w14:paraId="7078E6C3" w14:textId="4446AFDF">
            <w:pPr>
              <w:pStyle w:val="P68B1DB1-Standaard2"/>
              <w:jc w:val="center"/>
            </w:pPr>
            <w:r>
              <w:t>30667,3</w:t>
            </w:r>
          </w:p>
        </w:tc>
        <w:tc>
          <w:tcPr>
            <w:tcW w:w="654" w:type="pct"/>
          </w:tcPr>
          <w:p w14:paraId="6939B163" w14:textId="77777777">
            <w:pPr>
              <w:pStyle w:val="P68B1DB1-Standaard2"/>
              <w:jc w:val="center"/>
            </w:pPr>
            <w:r>
              <w:t>25000</w:t>
            </w:r>
          </w:p>
        </w:tc>
      </w:tr>
    </w:tbl>
    <w:p w14:paraId="58971531" w14:textId="77777777">
      <w:pPr>
        <w:jc w:val="left"/>
      </w:pPr>
    </w:p>
    <w:p w14:paraId="64E675B3" w14:textId="12C37CE7">
      <w:r>
        <w:t xml:space="preserve">Noise reduction</w:t>
      </w:r>
      <w:r>
        <w:rPr>
          <w:rStyle w:val="CarMarque"/>
        </w:rPr>
        <w:t xml:space="preserve"> FireMax EI 30 SR</w:t>
      </w:r>
      <w:r>
        <w:t>:</w:t>
      </w:r>
    </w:p>
    <w:tbl>
      <w:tblPr>
        <w:tblW w:w="242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615"/>
        <w:gridCol w:w="1701"/>
      </w:tblGrid>
      <w:tr w14:paraId="71537697" w14:textId="77777777">
        <w:trPr>
          <w:trHeight w:val="455"/>
        </w:trPr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  <w:hideMark/>
          </w:tcPr>
          <w:p w14:paraId="399C3525" w14:textId="77777777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3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  <w:hideMark/>
          </w:tcPr>
          <w:p w14:paraId="38AFA994" w14:textId="77777777">
            <w:pPr>
              <w:pStyle w:val="P68B1DB1-Standaard2"/>
              <w:jc w:val="center"/>
            </w:pPr>
            <w:r>
              <w:t xml:space="preserve">Sound absorption</w:t>
            </w:r>
          </w:p>
          <w:p w14:paraId="46096423" w14:textId="77777777">
            <w:pPr>
              <w:pStyle w:val="P68B1DB1-Standaard2"/>
              <w:jc w:val="center"/>
            </w:pPr>
            <w:r>
              <w:t>D</w:t>
            </w:r>
            <w:r>
              <w:rPr>
                <w:vertAlign w:val="subscript"/>
              </w:rPr>
              <w:t>ne,</w:t>
            </w:r>
            <w:r>
              <w:t xml:space="preserve">W (C;C</w:t>
            </w:r>
            <w:r>
              <w:rPr>
                <w:vertAlign w:val="subscript"/>
              </w:rPr>
              <w:t>tr</w:t>
            </w:r>
            <w:r>
              <w:t xml:space="preserve">), </w:t>
            </w:r>
            <w:r>
              <w:rPr>
                <w:vertAlign w:val="subscript"/>
              </w:rPr>
              <w:t xml:space="preserve">in dB</w:t>
            </w:r>
          </w:p>
        </w:tc>
      </w:tr>
      <w:tr w14:paraId="570DCC12" w14:textId="77777777">
        <w:trPr>
          <w:trHeight w:val="465"/>
        </w:trPr>
        <w:tc>
          <w:tcPr>
            <w:tcW w:w="150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  <w:hideMark/>
          </w:tcPr>
          <w:p w14:paraId="29F983EE" w14:textId="7777777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  <w:hideMark/>
          </w:tcPr>
          <w:p w14:paraId="64470BB7" w14:textId="77777777">
            <w:pPr>
              <w:pStyle w:val="P68B1DB1-Standaard2"/>
              <w:jc w:val="center"/>
            </w:pPr>
            <w:r>
              <w:t xml:space="preserve">OPEN position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1499458C" w14:textId="77777777">
            <w:pPr>
              <w:pStyle w:val="P68B1DB1-Standaard2"/>
              <w:jc w:val="center"/>
            </w:pPr>
            <w:r>
              <w:t xml:space="preserve">CLOSED position</w:t>
            </w:r>
          </w:p>
        </w:tc>
      </w:tr>
      <w:tr w14:paraId="471822CA" w14:textId="77777777">
        <w:trPr>
          <w:trHeight w:val="465"/>
        </w:trPr>
        <w:tc>
          <w:tcPr>
            <w:tcW w:w="150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475AC1EE" w14:textId="7777777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7FCE96CE" w14:textId="77777777">
            <w:pPr>
              <w:pStyle w:val="P68B1DB1-Standaard2"/>
              <w:jc w:val="center"/>
            </w:pP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337C6AC0" w14:textId="77777777">
            <w:pPr>
              <w:pStyle w:val="P68B1DB1-Standaard2"/>
              <w:jc w:val="center"/>
            </w:pPr>
          </w:p>
        </w:tc>
      </w:tr>
      <w:tr w14:paraId="59697CEF" w14:textId="77777777">
        <w:trPr>
          <w:trHeight w:val="258"/>
        </w:trPr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14:paraId="1964204E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15 mm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38029D" w14:textId="1F048D32">
            <w:pPr>
              <w:pStyle w:val="P68B1DB1-Standaard2"/>
              <w:jc w:val="center"/>
            </w:pPr>
            <w:r>
              <w:t xml:space="preserve">35 (-1;-2)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C9164E" w14:textId="01EFE8E9">
            <w:pPr>
              <w:pStyle w:val="P68B1DB1-Standaard2"/>
              <w:jc w:val="center"/>
            </w:pPr>
            <w:r>
              <w:t xml:space="preserve">51 (-1;-4)</w:t>
            </w:r>
          </w:p>
        </w:tc>
      </w:tr>
      <w:tr w14:paraId="07286517" w14:textId="77777777">
        <w:trPr>
          <w:trHeight w:val="258"/>
        </w:trPr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ACB6B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20 mm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8AA59B" w14:textId="7A3CF1B6">
            <w:pPr>
              <w:pStyle w:val="P68B1DB1-Standaard2"/>
              <w:jc w:val="center"/>
            </w:pPr>
            <w:r>
              <w:t xml:space="preserve">34 (0;-2)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000E10" w14:textId="494515D9">
            <w:pPr>
              <w:pStyle w:val="P68B1DB1-Standaard2"/>
              <w:jc w:val="center"/>
            </w:pPr>
            <w:r>
              <w:t xml:space="preserve">49 (0;-3)</w:t>
            </w:r>
          </w:p>
        </w:tc>
      </w:tr>
      <w:tr w14:paraId="3BD20B41" w14:textId="77777777">
        <w:trPr>
          <w:trHeight w:val="258"/>
        </w:trPr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ADEC6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25 mm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012D58" w14:textId="7B3D4B20">
            <w:pPr>
              <w:pStyle w:val="P68B1DB1-Standaard2"/>
              <w:jc w:val="center"/>
            </w:pPr>
            <w:r>
              <w:t xml:space="preserve">27 (0;-1)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55385" w14:textId="40858E0A">
            <w:pPr>
              <w:pStyle w:val="P68B1DB1-Standaard2"/>
              <w:jc w:val="center"/>
            </w:pPr>
            <w:r>
              <w:t xml:space="preserve">42 (0;-1)</w:t>
            </w:r>
          </w:p>
        </w:tc>
      </w:tr>
    </w:tbl>
    <w:p w14:paraId="587F1583" w14:textId="75C5C34A">
      <w:pPr>
        <w:jc w:val="left"/>
      </w:pPr>
      <w:r>
        <w:br w:type="page"/>
      </w:r>
    </w:p>
    <w:p w14:paraId="776A9623" w14:textId="20BF1B23">
      <w:pPr>
        <w:tabs>
          <w:tab w:val="left" w:pos="3686"/>
        </w:tabs>
      </w:pPr>
      <w:r>
        <w:t xml:space="preserve">Water repellency (when closed):</w:t>
        <w:tab/>
        <w:t xml:space="preserve">1050 Pa</w:t>
      </w:r>
    </w:p>
    <w:p w14:paraId="7C0CFA19" w14:textId="77777777">
      <w:pPr>
        <w:tabs>
          <w:tab w:val="left" w:pos="3686"/>
        </w:tabs>
      </w:pPr>
    </w:p>
    <w:p w14:paraId="4F0EB75F" w14:textId="18E3903D">
      <w:pPr>
        <w:tabs>
          <w:tab w:val="left" w:pos="3686"/>
        </w:tabs>
      </w:pPr>
      <w:r>
        <w:t xml:space="preserve">Wind resistance (in closed position):</w:t>
        <w:tab/>
        <w:t xml:space="preserve">600 Pa</w:t>
      </w:r>
    </w:p>
    <w:p w14:paraId="029D9EB1" w14:textId="77777777">
      <w:pPr>
        <w:tabs>
          <w:tab w:val="left" w:pos="3686"/>
        </w:tabs>
        <w:rPr>
          <w:highlight w:val="yellow"/>
        </w:rPr>
      </w:pPr>
    </w:p>
    <w:p w14:paraId="73DDA458" w14:textId="33497C6A">
      <w:pPr>
        <w:tabs>
          <w:tab w:val="left" w:pos="3686"/>
        </w:tabs>
      </w:pPr>
      <w:r>
        <w:t xml:space="preserve">Subtraction of glass height:</w:t>
        <w:tab/>
        <w:t xml:space="preserve">92 mm</w:t>
      </w:r>
    </w:p>
    <w:p w14:paraId="18F6BF15" w14:textId="77777777">
      <w:pPr>
        <w:tabs>
          <w:tab w:val="left" w:pos="3686"/>
        </w:tabs>
      </w:pPr>
    </w:p>
    <w:p w14:paraId="4D0D3D74" w14:textId="6422E94B">
      <w:pPr>
        <w:tabs>
          <w:tab w:val="left" w:pos="3686"/>
        </w:tabs>
      </w:pPr>
      <w:r>
        <w:t xml:space="preserve">Glazing channel:</w:t>
        <w:tab/>
        <w:t xml:space="preserve">42 mm</w:t>
      </w:r>
    </w:p>
    <w:p w14:paraId="0FFB6728" w14:textId="77777777">
      <w:pPr>
        <w:tabs>
          <w:tab w:val="left" w:pos="3686"/>
        </w:tabs>
      </w:pPr>
    </w:p>
    <w:p w14:paraId="3AB11F1B" w14:textId="78DE7CD1">
      <w:pPr>
        <w:tabs>
          <w:tab w:val="left" w:pos="3686"/>
        </w:tabs>
      </w:pPr>
      <w:r>
        <w:t>Rebate:</w:t>
        <w:tab/>
        <w:t xml:space="preserve">27 mm</w:t>
      </w:r>
    </w:p>
    <w:p w14:paraId="380323C7" w14:textId="77777777">
      <w:pPr>
        <w:tabs>
          <w:tab w:val="left" w:pos="3686"/>
        </w:tabs>
      </w:pPr>
    </w:p>
    <w:p w14:paraId="6B806261" w14:textId="3DA8DE6F">
      <w:pPr>
        <w:tabs>
          <w:tab w:val="left" w:pos="3686"/>
        </w:tabs>
      </w:pPr>
      <w:r>
        <w:t xml:space="preserve">Vent height</w:t>
        <w:tab/>
        <w:t xml:space="preserve">107 mm</w:t>
      </w:r>
    </w:p>
    <w:p w14:paraId="3868FAEE" w14:textId="77777777">
      <w:pPr>
        <w:tabs>
          <w:tab w:val="left" w:pos="3686"/>
        </w:tabs>
      </w:pPr>
    </w:p>
    <w:p w14:paraId="587059A9" w14:textId="564DAD84">
      <w:pPr>
        <w:tabs>
          <w:tab w:val="left" w:pos="3686"/>
        </w:tabs>
      </w:pPr>
      <w:r>
        <w:t xml:space="preserve">Operation: </w:t>
        <w:tab/>
        <w:t>…</w:t>
      </w:r>
    </w:p>
    <w:p w14:paraId="692C993C" w14:textId="21411966">
      <w:pPr>
        <w:pStyle w:val="OFWEL"/>
        <w:tabs>
          <w:tab w:val="left" w:pos="3686"/>
        </w:tabs>
        <w:ind w:left="2880" w:firstLine="806"/>
      </w:pPr>
      <w:r>
        <w:t xml:space="preserve">Stepless, with handle 15 mm</w:t>
      </w:r>
    </w:p>
    <w:p w14:paraId="6EFF81C3" w14:textId="43E27D21">
      <w:pPr>
        <w:tabs>
          <w:tab w:val="left" w:pos="3686"/>
        </w:tabs>
        <w:rPr>
          <w:color w:val="008080"/>
        </w:rPr>
        <w:pStyle w:val="P68B1DB1-Standaard3"/>
      </w:pPr>
      <w:r>
        <w:tab/>
        <w:t xml:space="preserve">Stepless, with cord</w:t>
      </w:r>
    </w:p>
    <w:p w14:paraId="5B22166A" w14:textId="2C596AA1">
      <w:pPr>
        <w:pStyle w:val="OFWEL"/>
        <w:tabs>
          <w:tab w:val="left" w:pos="3686"/>
        </w:tabs>
        <w:ind w:left="2880" w:firstLine="806"/>
      </w:pPr>
      <w:r>
        <w:t xml:space="preserve">Stepless, with rod</w:t>
      </w:r>
    </w:p>
    <w:p w14:paraId="45C2D505" w14:textId="77777777">
      <w:pPr>
        <w:tabs>
          <w:tab w:val="left" w:pos="3686"/>
        </w:tabs>
      </w:pPr>
    </w:p>
    <w:p w14:paraId="5E730BF6" w14:textId="7E6E6D2C">
      <w:pPr>
        <w:tabs>
          <w:tab w:val="left" w:pos="3686"/>
        </w:tabs>
      </w:pPr>
      <w:r>
        <w:t xml:space="preserve">Vent length</w:t>
        <w:tab/>
        <w:t xml:space="preserve">… mm</w:t>
      </w:r>
    </w:p>
    <w:p w14:paraId="7E9ED2D3" w14:textId="67A26618">
      <w:pPr>
        <w:pStyle w:val="Nota"/>
        <w:tabs>
          <w:tab w:val="left" w:pos="3686"/>
        </w:tabs>
        <w:ind w:left="2880" w:firstLine="806"/>
      </w:pPr>
      <w:r>
        <w:t xml:space="preserve">Maximum 1,114 mm under warranty (within fire resistance certificate):</w:t>
      </w:r>
    </w:p>
    <w:p w14:paraId="1857C214" w14:textId="77777777">
      <w:pPr>
        <w:pStyle w:val="Nota"/>
        <w:tabs>
          <w:tab w:val="left" w:pos="3686"/>
        </w:tabs>
        <w:ind w:left="2880" w:firstLine="806"/>
      </w:pPr>
    </w:p>
    <w:p w14:paraId="79BD2612" w14:textId="546E52DE">
      <w:pPr>
        <w:tabs>
          <w:tab w:val="left" w:pos="3686"/>
        </w:tabs>
      </w:pPr>
      <w:r>
        <w:t>Mounting|Placement:</w:t>
        <w:tab/>
        <w:t xml:space="preserve">According to manufacturer's mounting instructions</w:t>
      </w:r>
    </w:p>
    <w:p w14:paraId="24A20461" w14:textId="3A8326A5">
      <w:pPr>
        <w:tabs>
          <w:tab w:val="left" w:pos="3686"/>
        </w:tabs>
      </w:pPr>
      <w:r>
        <w:tab/>
        <w:t xml:space="preserve">Sealing with Firestop 700</w:t>
      </w:r>
    </w:p>
    <w:p w14:paraId="422BAAAA" w14:textId="1D39EDB2">
      <w:pPr>
        <w:tabs>
          <w:tab w:val="left" w:pos="3686"/>
        </w:tabs>
      </w:pPr>
      <w:r>
        <w:tab/>
        <w:t xml:space="preserve">Fire resistant back padding Nullifire FJ203</w:t>
      </w:r>
    </w:p>
    <w:p w14:paraId="72F3DC45" w14:textId="14C5FCA0">
      <w:pPr>
        <w:pStyle w:val="Nota"/>
        <w:tabs>
          <w:tab w:val="left" w:pos="3686"/>
        </w:tabs>
        <w:ind w:left="2880" w:firstLine="806"/>
        <w:rPr>
          <w:rStyle w:val="MerkChar"/>
          <w:i w:val="0"/>
          <w:color w:val="auto"/>
        </w:rPr>
      </w:pPr>
      <w:r>
        <w:rPr>
          <w:color w:val="auto"/>
        </w:rPr>
        <w:t xml:space="preserve">In combination with </w:t>
      </w:r>
      <w:r>
        <w:rPr>
          <w:rStyle w:val="MerkChar"/>
          <w:i w:val="0"/>
          <w:color w:val="auto"/>
        </w:rPr>
        <w:t xml:space="preserve">VetroTech Contraflam IDU</w:t>
      </w:r>
    </w:p>
    <w:p w14:paraId="68433DEE" w14:textId="3A28C371">
      <w:pPr>
        <w:pStyle w:val="Nota"/>
        <w:tabs>
          <w:tab w:val="left" w:pos="3686"/>
        </w:tabs>
        <w:ind w:left="2880" w:firstLine="806"/>
        <w:rPr>
          <w:color w:val="auto"/>
        </w:rPr>
      </w:pPr>
      <w:r>
        <w:rPr>
          <w:color w:val="auto"/>
        </w:rPr>
        <w:t xml:space="preserve">In combination with </w:t>
      </w:r>
      <w:r>
        <w:rPr>
          <w:rStyle w:val="MerkChar"/>
          <w:i w:val="0"/>
          <w:color w:val="auto"/>
        </w:rPr>
        <w:t xml:space="preserve">Reynaers Masterline</w:t>
      </w:r>
    </w:p>
    <w:p w14:paraId="686A7234" w14:textId="77777777">
      <w:pPr>
        <w:tabs>
          <w:tab w:val="left" w:pos="3686"/>
        </w:tabs>
      </w:pPr>
    </w:p>
    <w:p w14:paraId="56AC23DC" w14:textId="77777777">
      <w:pPr>
        <w:pStyle w:val="Kop5"/>
      </w:pPr>
      <w:r>
        <w:t>Application:</w:t>
      </w:r>
    </w:p>
    <w:p w14:paraId="24E88923" w14:textId="48DE9506">
      <w:pPr>
        <w:pStyle w:val="P68B1DB1-OFWEL4"/>
        <w:rPr>
          <w:color w:val="auto"/>
        </w:rPr>
      </w:pPr>
      <w:r>
        <w:t xml:space="preserve">Developed for mounting on glass in combination with the glass type mentioned above and an aluminium window or door.</w:t>
      </w:r>
      <w:r>
        <w:br/>
        <w:t xml:space="preserve">The following doors and windows were tested for the fire resistance certificate: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1843"/>
      </w:tblGrid>
      <w:tr w14:paraId="69B734F0" w14:textId="77777777">
        <w:tc>
          <w:tcPr>
            <w:tcW w:w="1526" w:type="dxa"/>
            <w:shd w:val="clear" w:color="auto" w:fill="A6A6A6" w:themeFill="background1" w:themeFillShade="A6"/>
          </w:tcPr>
          <w:p w14:paraId="5968678D" w14:textId="77777777"/>
        </w:tc>
        <w:tc>
          <w:tcPr>
            <w:tcW w:w="1984" w:type="dxa"/>
            <w:shd w:val="clear" w:color="auto" w:fill="A6A6A6" w:themeFill="background1" w:themeFillShade="A6"/>
          </w:tcPr>
          <w:p w14:paraId="15596D42" w14:textId="6A10BEEE">
            <w:r>
              <w:t xml:space="preserve">Max. glass width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22C13912" w14:textId="5EB258F6">
            <w:r>
              <w:t xml:space="preserve">Max. glass height</w:t>
            </w:r>
          </w:p>
        </w:tc>
      </w:tr>
      <w:tr w14:paraId="52930EA3" w14:textId="77777777">
        <w:tc>
          <w:tcPr>
            <w:tcW w:w="1526" w:type="dxa"/>
          </w:tcPr>
          <w:p w14:paraId="3476CD61" w14:textId="2E90D662">
            <w:r>
              <w:t>Door</w:t>
            </w:r>
          </w:p>
        </w:tc>
        <w:tc>
          <w:tcPr>
            <w:tcW w:w="1984" w:type="dxa"/>
          </w:tcPr>
          <w:p w14:paraId="4CB1D52F" w14:textId="29EDE547">
            <w:pPr>
              <w:tabs>
                <w:tab w:val="decimal" w:pos="889"/>
              </w:tabs>
            </w:pPr>
            <w:r>
              <w:t xml:space="preserve">885,5 mm</w:t>
            </w:r>
          </w:p>
        </w:tc>
        <w:tc>
          <w:tcPr>
            <w:tcW w:w="1843" w:type="dxa"/>
          </w:tcPr>
          <w:p w14:paraId="5D4C48D5" w14:textId="64AC4DAE">
            <w:pPr>
              <w:tabs>
                <w:tab w:val="decimal" w:pos="852"/>
              </w:tabs>
            </w:pPr>
            <w:r>
              <w:t xml:space="preserve">2.137,5 mm</w:t>
            </w:r>
          </w:p>
        </w:tc>
      </w:tr>
      <w:tr w14:paraId="36F397DC" w14:textId="77777777">
        <w:tc>
          <w:tcPr>
            <w:tcW w:w="1526" w:type="dxa"/>
          </w:tcPr>
          <w:p w14:paraId="6EA55555" w14:textId="6C4E1515">
            <w:r>
              <w:t xml:space="preserve">Window 1</w:t>
            </w:r>
          </w:p>
        </w:tc>
        <w:tc>
          <w:tcPr>
            <w:tcW w:w="1984" w:type="dxa"/>
          </w:tcPr>
          <w:p w14:paraId="57C7A114" w14:textId="11BE1233">
            <w:pPr>
              <w:tabs>
                <w:tab w:val="decimal" w:pos="889"/>
              </w:tabs>
            </w:pPr>
            <w:r>
              <w:t xml:space="preserve">1.114,5 mm</w:t>
            </w:r>
          </w:p>
        </w:tc>
        <w:tc>
          <w:tcPr>
            <w:tcW w:w="1843" w:type="dxa"/>
          </w:tcPr>
          <w:p w14:paraId="207B5834" w14:textId="5F170C9D">
            <w:pPr>
              <w:tabs>
                <w:tab w:val="decimal" w:pos="852"/>
              </w:tabs>
            </w:pPr>
            <w:r>
              <w:t xml:space="preserve">2.292 mm</w:t>
            </w:r>
          </w:p>
        </w:tc>
      </w:tr>
      <w:tr w14:paraId="4F4FD175" w14:textId="77777777">
        <w:tc>
          <w:tcPr>
            <w:tcW w:w="1526" w:type="dxa"/>
          </w:tcPr>
          <w:p w14:paraId="3A15AC03" w14:textId="234B6937">
            <w:r>
              <w:t xml:space="preserve">Window 2</w:t>
            </w:r>
          </w:p>
        </w:tc>
        <w:tc>
          <w:tcPr>
            <w:tcW w:w="1984" w:type="dxa"/>
          </w:tcPr>
          <w:p w14:paraId="6C74C7CD" w14:textId="4AB22DE7">
            <w:pPr>
              <w:tabs>
                <w:tab w:val="decimal" w:pos="889"/>
              </w:tabs>
            </w:pPr>
            <w:r>
              <w:t xml:space="preserve">737 mm</w:t>
            </w:r>
          </w:p>
        </w:tc>
        <w:tc>
          <w:tcPr>
            <w:tcW w:w="1843" w:type="dxa"/>
          </w:tcPr>
          <w:p w14:paraId="57220612" w14:textId="60224E54">
            <w:pPr>
              <w:tabs>
                <w:tab w:val="decimal" w:pos="852"/>
              </w:tabs>
            </w:pPr>
            <w:r>
              <w:t xml:space="preserve">2.266 mm</w:t>
            </w:r>
          </w:p>
        </w:tc>
      </w:tr>
      <w:tr w14:paraId="028B9C8B" w14:textId="77777777">
        <w:tc>
          <w:tcPr>
            <w:tcW w:w="1526" w:type="dxa"/>
          </w:tcPr>
          <w:p w14:paraId="44234514" w14:textId="0BA35D95">
            <w:r>
              <w:t xml:space="preserve">Window 3</w:t>
            </w:r>
          </w:p>
        </w:tc>
        <w:tc>
          <w:tcPr>
            <w:tcW w:w="1984" w:type="dxa"/>
          </w:tcPr>
          <w:p w14:paraId="181DE65C" w14:textId="2CFA65CA">
            <w:pPr>
              <w:tabs>
                <w:tab w:val="decimal" w:pos="889"/>
              </w:tabs>
            </w:pPr>
            <w:r>
              <w:t xml:space="preserve">866,5 mm</w:t>
            </w:r>
          </w:p>
        </w:tc>
        <w:tc>
          <w:tcPr>
            <w:tcW w:w="1843" w:type="dxa"/>
          </w:tcPr>
          <w:p w14:paraId="4E1B25F2" w14:textId="24EF4D6C">
            <w:pPr>
              <w:tabs>
                <w:tab w:val="decimal" w:pos="852"/>
              </w:tabs>
            </w:pPr>
            <w:r>
              <w:t xml:space="preserve">1.149,5 mm</w:t>
            </w:r>
          </w:p>
        </w:tc>
      </w:tr>
    </w:tbl>
    <w:p w14:paraId="4DD6E29F" w14:textId="77777777"/>
    <w:p w14:paraId="34369FD1" w14:textId="77777777">
      <w:pPr>
        <w:pStyle w:val="Kop5"/>
      </w:pPr>
      <w:r>
        <w:t xml:space="preserve">Nature of the agreement:</w:t>
      </w:r>
    </w:p>
    <w:p w14:paraId="2E9DF3F0" w14:textId="6B3CBE69">
      <w:r>
        <w:t xml:space="preserve">Presumed quantity (PQ)</w:t>
      </w:r>
    </w:p>
    <w:p w14:paraId="7CA3FDF3" w14:textId="77777777">
      <w:pPr>
        <w:pStyle w:val="Kop5"/>
      </w:pPr>
      <w:r>
        <w:t xml:space="preserve">Measurement method:</w:t>
      </w:r>
    </w:p>
    <w:p w14:paraId="3A524339" w14:textId="77777777">
      <w:pPr>
        <w:pStyle w:val="Meting"/>
      </w:pPr>
      <w:r>
        <w:t xml:space="preserve">Unit of measurement:</w:t>
        <w:tab/>
        <w:t xml:space="preserve">  mm.</w:t>
      </w:r>
    </w:p>
    <w:p w14:paraId="00E9A393" w14:textId="77777777">
      <w:pPr>
        <w:pStyle w:val="Meting"/>
      </w:pPr>
      <w:r>
        <w:t xml:space="preserve">Measurement code:</w:t>
        <w:tab/>
      </w:r>
    </w:p>
    <w:sectPr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569D" w14:textId="77777777">
      <w:r>
        <w:separator/>
      </w:r>
    </w:p>
  </w:endnote>
  <w:endnote w:type="continuationSeparator" w:id="0">
    <w:p w14:paraId="7E68D278" w14:textId="77777777">
      <w:r>
        <w:continuationSeparator/>
      </w:r>
    </w:p>
  </w:endnote>
  <w:endnote w:type="continuationNotice" w:id="1">
    <w:p w14:paraId="5E0B8B9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E8DF" w14:textId="77777777">
    <w:pPr>
      <w:pStyle w:val="Voettekst"/>
    </w:pPr>
    <w:r>
      <w:object w:dxaOrig="1440" w:dyaOrig="1440" w14:anchorId="25AAB49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 type="#_x0000_t75">
          <v:imagedata o:title="" r:id="rId1"/>
          <w10:wrap type="tight"/>
        </v:shape>
        <o:OLEObject Type="Embed" ProgID="MSPhotoEd.3" ShapeID="_x0000_s1025" DrawAspect="Content" ObjectID="_176863834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4603" w14:textId="77777777">
      <w:r>
        <w:separator/>
      </w:r>
    </w:p>
  </w:footnote>
  <w:footnote w:type="continuationSeparator" w:id="0">
    <w:p w14:paraId="4DECFC8B" w14:textId="77777777">
      <w:r>
        <w:continuationSeparator/>
      </w:r>
    </w:p>
  </w:footnote>
  <w:footnote w:type="continuationNotice" w:id="1">
    <w:p w14:paraId="21756DD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7F4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 xml:space="preserve">file ................... - dd. ........</w:t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C422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 xml:space="preserve">file ................... - dd. ........</w:t>
      <w:tab/>
    </w:r>
    <w:r>
      <w:fldChar w:fldCharType="begin"/>
    </w:r>
    <w:r>
      <w:instrText>PAGE</w:instrText>
    </w:r>
    <w:r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D077C29"/>
    <w:multiLevelType w:val="hybridMultilevel"/>
    <w:tmpl w:val="0C92B75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D7B3CDB"/>
    <w:multiLevelType w:val="hybridMultilevel"/>
    <w:tmpl w:val="D3366D7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6351681">
    <w:abstractNumId w:val="0"/>
  </w:num>
  <w:num w:numId="2" w16cid:durableId="1360623220">
    <w:abstractNumId w:val="1"/>
  </w:num>
  <w:num w:numId="3" w16cid:durableId="1966738316">
    <w:abstractNumId w:val="3"/>
  </w:num>
  <w:num w:numId="4" w16cid:durableId="2043508135">
    <w:abstractNumId w:val="4"/>
  </w:num>
  <w:num w:numId="5" w16cid:durableId="197829895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0D30"/>
    <w:rsid w:val="000034D1"/>
    <w:rsid w:val="00006E2C"/>
    <w:rsid w:val="00011B1B"/>
    <w:rsid w:val="00013E09"/>
    <w:rsid w:val="000142BC"/>
    <w:rsid w:val="00017BF1"/>
    <w:rsid w:val="0002147E"/>
    <w:rsid w:val="000225BB"/>
    <w:rsid w:val="00023AEC"/>
    <w:rsid w:val="00032AD4"/>
    <w:rsid w:val="000400D3"/>
    <w:rsid w:val="00043D78"/>
    <w:rsid w:val="0004754E"/>
    <w:rsid w:val="00053C13"/>
    <w:rsid w:val="00062EB6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0E26"/>
    <w:rsid w:val="001132CD"/>
    <w:rsid w:val="0011726D"/>
    <w:rsid w:val="00117554"/>
    <w:rsid w:val="00125D74"/>
    <w:rsid w:val="00126101"/>
    <w:rsid w:val="00130D42"/>
    <w:rsid w:val="00130F6B"/>
    <w:rsid w:val="00131313"/>
    <w:rsid w:val="00140F97"/>
    <w:rsid w:val="00147FB2"/>
    <w:rsid w:val="0015158B"/>
    <w:rsid w:val="00165C47"/>
    <w:rsid w:val="001707C2"/>
    <w:rsid w:val="00171A14"/>
    <w:rsid w:val="001722FA"/>
    <w:rsid w:val="001732E3"/>
    <w:rsid w:val="00180E4E"/>
    <w:rsid w:val="00183DF2"/>
    <w:rsid w:val="00184CB3"/>
    <w:rsid w:val="00194556"/>
    <w:rsid w:val="0019696F"/>
    <w:rsid w:val="001A161B"/>
    <w:rsid w:val="001A4492"/>
    <w:rsid w:val="001A58D2"/>
    <w:rsid w:val="001B262B"/>
    <w:rsid w:val="001C489C"/>
    <w:rsid w:val="001C5E46"/>
    <w:rsid w:val="001C6CD5"/>
    <w:rsid w:val="001C7CE2"/>
    <w:rsid w:val="001D20C5"/>
    <w:rsid w:val="001D2A39"/>
    <w:rsid w:val="001D4AE9"/>
    <w:rsid w:val="001E4035"/>
    <w:rsid w:val="001E51BD"/>
    <w:rsid w:val="0020404B"/>
    <w:rsid w:val="00224915"/>
    <w:rsid w:val="002317A6"/>
    <w:rsid w:val="00231E0D"/>
    <w:rsid w:val="002561FE"/>
    <w:rsid w:val="0025674D"/>
    <w:rsid w:val="00262B41"/>
    <w:rsid w:val="0026458D"/>
    <w:rsid w:val="002667C5"/>
    <w:rsid w:val="00272FD9"/>
    <w:rsid w:val="00275014"/>
    <w:rsid w:val="00275820"/>
    <w:rsid w:val="002778EE"/>
    <w:rsid w:val="00284BF3"/>
    <w:rsid w:val="00297077"/>
    <w:rsid w:val="002A488C"/>
    <w:rsid w:val="002B03A9"/>
    <w:rsid w:val="002B4BAC"/>
    <w:rsid w:val="002B4CF0"/>
    <w:rsid w:val="002C421C"/>
    <w:rsid w:val="002D088D"/>
    <w:rsid w:val="002D10E3"/>
    <w:rsid w:val="002D1E41"/>
    <w:rsid w:val="002D44B3"/>
    <w:rsid w:val="002D6F45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2FE8"/>
    <w:rsid w:val="00303CA5"/>
    <w:rsid w:val="00306CAE"/>
    <w:rsid w:val="003072E5"/>
    <w:rsid w:val="00313212"/>
    <w:rsid w:val="003147FE"/>
    <w:rsid w:val="00315CDA"/>
    <w:rsid w:val="00316D78"/>
    <w:rsid w:val="00322422"/>
    <w:rsid w:val="00324363"/>
    <w:rsid w:val="003300F9"/>
    <w:rsid w:val="00330F3E"/>
    <w:rsid w:val="0034358D"/>
    <w:rsid w:val="00344C87"/>
    <w:rsid w:val="00360B18"/>
    <w:rsid w:val="00360C24"/>
    <w:rsid w:val="00380AF3"/>
    <w:rsid w:val="00384BE5"/>
    <w:rsid w:val="003945CC"/>
    <w:rsid w:val="003961B3"/>
    <w:rsid w:val="003A7C53"/>
    <w:rsid w:val="003B1D22"/>
    <w:rsid w:val="003B67FB"/>
    <w:rsid w:val="003E1C7C"/>
    <w:rsid w:val="003E2506"/>
    <w:rsid w:val="003F12F8"/>
    <w:rsid w:val="003F551C"/>
    <w:rsid w:val="004017CD"/>
    <w:rsid w:val="004024ED"/>
    <w:rsid w:val="00403499"/>
    <w:rsid w:val="00411E68"/>
    <w:rsid w:val="00427EDA"/>
    <w:rsid w:val="00432BD8"/>
    <w:rsid w:val="00433A78"/>
    <w:rsid w:val="00444547"/>
    <w:rsid w:val="004506D8"/>
    <w:rsid w:val="00456B5C"/>
    <w:rsid w:val="00456FCD"/>
    <w:rsid w:val="0046635F"/>
    <w:rsid w:val="0047077E"/>
    <w:rsid w:val="00472D23"/>
    <w:rsid w:val="004765EC"/>
    <w:rsid w:val="0048079C"/>
    <w:rsid w:val="00482E57"/>
    <w:rsid w:val="00496EAC"/>
    <w:rsid w:val="004A1BBA"/>
    <w:rsid w:val="004A21B3"/>
    <w:rsid w:val="004A2482"/>
    <w:rsid w:val="004A2FAC"/>
    <w:rsid w:val="004A4F6C"/>
    <w:rsid w:val="004A6867"/>
    <w:rsid w:val="004B0F46"/>
    <w:rsid w:val="004C6948"/>
    <w:rsid w:val="004D24E1"/>
    <w:rsid w:val="004E1F13"/>
    <w:rsid w:val="004E7513"/>
    <w:rsid w:val="004E7860"/>
    <w:rsid w:val="004F2C0A"/>
    <w:rsid w:val="004F6EE4"/>
    <w:rsid w:val="005031B4"/>
    <w:rsid w:val="00544308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C4774"/>
    <w:rsid w:val="005C71B8"/>
    <w:rsid w:val="005D3B30"/>
    <w:rsid w:val="005D4123"/>
    <w:rsid w:val="005D6060"/>
    <w:rsid w:val="005D77D6"/>
    <w:rsid w:val="005E236A"/>
    <w:rsid w:val="005E5121"/>
    <w:rsid w:val="005F3215"/>
    <w:rsid w:val="005F7331"/>
    <w:rsid w:val="00605168"/>
    <w:rsid w:val="00607918"/>
    <w:rsid w:val="00630C03"/>
    <w:rsid w:val="0063304B"/>
    <w:rsid w:val="0063441A"/>
    <w:rsid w:val="00641752"/>
    <w:rsid w:val="00648E50"/>
    <w:rsid w:val="006504B4"/>
    <w:rsid w:val="00651CBB"/>
    <w:rsid w:val="006548D8"/>
    <w:rsid w:val="00665F13"/>
    <w:rsid w:val="00666676"/>
    <w:rsid w:val="00670BE1"/>
    <w:rsid w:val="006721E0"/>
    <w:rsid w:val="00672A63"/>
    <w:rsid w:val="00682314"/>
    <w:rsid w:val="006919CA"/>
    <w:rsid w:val="006A3B32"/>
    <w:rsid w:val="006A53D4"/>
    <w:rsid w:val="006A60BC"/>
    <w:rsid w:val="006B1D69"/>
    <w:rsid w:val="006C113F"/>
    <w:rsid w:val="006C1C44"/>
    <w:rsid w:val="006C7820"/>
    <w:rsid w:val="006D1889"/>
    <w:rsid w:val="006E2614"/>
    <w:rsid w:val="006F4025"/>
    <w:rsid w:val="006F4B70"/>
    <w:rsid w:val="0071738A"/>
    <w:rsid w:val="0072049F"/>
    <w:rsid w:val="0072211D"/>
    <w:rsid w:val="00725B2E"/>
    <w:rsid w:val="00726F18"/>
    <w:rsid w:val="00731336"/>
    <w:rsid w:val="00734507"/>
    <w:rsid w:val="00743019"/>
    <w:rsid w:val="007467AD"/>
    <w:rsid w:val="00747D58"/>
    <w:rsid w:val="00753EAB"/>
    <w:rsid w:val="00762B69"/>
    <w:rsid w:val="007663BA"/>
    <w:rsid w:val="00785173"/>
    <w:rsid w:val="00790F34"/>
    <w:rsid w:val="007C067D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4760"/>
    <w:rsid w:val="0081547B"/>
    <w:rsid w:val="008155DE"/>
    <w:rsid w:val="008162F7"/>
    <w:rsid w:val="00816326"/>
    <w:rsid w:val="008223D9"/>
    <w:rsid w:val="008238A3"/>
    <w:rsid w:val="00832D44"/>
    <w:rsid w:val="00841DF8"/>
    <w:rsid w:val="008467F2"/>
    <w:rsid w:val="00847668"/>
    <w:rsid w:val="00853840"/>
    <w:rsid w:val="00855B4A"/>
    <w:rsid w:val="00862093"/>
    <w:rsid w:val="008620E7"/>
    <w:rsid w:val="00862293"/>
    <w:rsid w:val="00875273"/>
    <w:rsid w:val="00875B1B"/>
    <w:rsid w:val="00875E0A"/>
    <w:rsid w:val="00876D94"/>
    <w:rsid w:val="00884ECB"/>
    <w:rsid w:val="00894003"/>
    <w:rsid w:val="008945B9"/>
    <w:rsid w:val="008B4F1C"/>
    <w:rsid w:val="008B649A"/>
    <w:rsid w:val="008B6513"/>
    <w:rsid w:val="008C4FB6"/>
    <w:rsid w:val="008C5FEE"/>
    <w:rsid w:val="008C6696"/>
    <w:rsid w:val="008D555E"/>
    <w:rsid w:val="008E045F"/>
    <w:rsid w:val="008E0F88"/>
    <w:rsid w:val="008E177A"/>
    <w:rsid w:val="008E1913"/>
    <w:rsid w:val="008F783A"/>
    <w:rsid w:val="00901008"/>
    <w:rsid w:val="00901B25"/>
    <w:rsid w:val="00911456"/>
    <w:rsid w:val="0091271D"/>
    <w:rsid w:val="00912B76"/>
    <w:rsid w:val="00915E83"/>
    <w:rsid w:val="00920F32"/>
    <w:rsid w:val="00927707"/>
    <w:rsid w:val="00930A05"/>
    <w:rsid w:val="0094493B"/>
    <w:rsid w:val="00946231"/>
    <w:rsid w:val="00957419"/>
    <w:rsid w:val="009576A9"/>
    <w:rsid w:val="00964D48"/>
    <w:rsid w:val="0096514D"/>
    <w:rsid w:val="00966B3E"/>
    <w:rsid w:val="00970360"/>
    <w:rsid w:val="00981727"/>
    <w:rsid w:val="00985229"/>
    <w:rsid w:val="00986062"/>
    <w:rsid w:val="00986423"/>
    <w:rsid w:val="009A19D3"/>
    <w:rsid w:val="009B4CB1"/>
    <w:rsid w:val="009B577C"/>
    <w:rsid w:val="009C12AA"/>
    <w:rsid w:val="009C3861"/>
    <w:rsid w:val="009C3DF2"/>
    <w:rsid w:val="009D0F79"/>
    <w:rsid w:val="009D727A"/>
    <w:rsid w:val="009E1DD4"/>
    <w:rsid w:val="009E57C5"/>
    <w:rsid w:val="009E596D"/>
    <w:rsid w:val="009F4DB7"/>
    <w:rsid w:val="00A02013"/>
    <w:rsid w:val="00A17CB6"/>
    <w:rsid w:val="00A20E89"/>
    <w:rsid w:val="00A241A7"/>
    <w:rsid w:val="00A24F91"/>
    <w:rsid w:val="00A30B00"/>
    <w:rsid w:val="00A32877"/>
    <w:rsid w:val="00A44163"/>
    <w:rsid w:val="00A51CF4"/>
    <w:rsid w:val="00A528C4"/>
    <w:rsid w:val="00A53E52"/>
    <w:rsid w:val="00A631B0"/>
    <w:rsid w:val="00A66312"/>
    <w:rsid w:val="00A6696A"/>
    <w:rsid w:val="00A81181"/>
    <w:rsid w:val="00A82426"/>
    <w:rsid w:val="00A84A25"/>
    <w:rsid w:val="00A90C7A"/>
    <w:rsid w:val="00A94A10"/>
    <w:rsid w:val="00A95E6E"/>
    <w:rsid w:val="00A97E95"/>
    <w:rsid w:val="00AA64D7"/>
    <w:rsid w:val="00AA7668"/>
    <w:rsid w:val="00AC2BF1"/>
    <w:rsid w:val="00AC36B6"/>
    <w:rsid w:val="00AC3ACE"/>
    <w:rsid w:val="00AC5372"/>
    <w:rsid w:val="00AC5733"/>
    <w:rsid w:val="00AD5358"/>
    <w:rsid w:val="00AE4652"/>
    <w:rsid w:val="00AE64E6"/>
    <w:rsid w:val="00AF372E"/>
    <w:rsid w:val="00AF758C"/>
    <w:rsid w:val="00B04C87"/>
    <w:rsid w:val="00B10847"/>
    <w:rsid w:val="00B24D93"/>
    <w:rsid w:val="00B41602"/>
    <w:rsid w:val="00B4255E"/>
    <w:rsid w:val="00B463BC"/>
    <w:rsid w:val="00B61F6D"/>
    <w:rsid w:val="00B6699B"/>
    <w:rsid w:val="00B7224D"/>
    <w:rsid w:val="00B73EE9"/>
    <w:rsid w:val="00B7464F"/>
    <w:rsid w:val="00B75809"/>
    <w:rsid w:val="00B84255"/>
    <w:rsid w:val="00B84819"/>
    <w:rsid w:val="00BA3380"/>
    <w:rsid w:val="00BA44C8"/>
    <w:rsid w:val="00BA5081"/>
    <w:rsid w:val="00BB1F06"/>
    <w:rsid w:val="00BB555A"/>
    <w:rsid w:val="00BC2B73"/>
    <w:rsid w:val="00BD36B5"/>
    <w:rsid w:val="00BE02DB"/>
    <w:rsid w:val="00BE2BFA"/>
    <w:rsid w:val="00BE47CE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454FC"/>
    <w:rsid w:val="00C538B7"/>
    <w:rsid w:val="00C56339"/>
    <w:rsid w:val="00C57B21"/>
    <w:rsid w:val="00C57DC9"/>
    <w:rsid w:val="00C6378F"/>
    <w:rsid w:val="00C66230"/>
    <w:rsid w:val="00C74286"/>
    <w:rsid w:val="00C7452B"/>
    <w:rsid w:val="00C75A2B"/>
    <w:rsid w:val="00C80D4B"/>
    <w:rsid w:val="00C83939"/>
    <w:rsid w:val="00C84D0E"/>
    <w:rsid w:val="00C8581E"/>
    <w:rsid w:val="00C93F25"/>
    <w:rsid w:val="00CA41E2"/>
    <w:rsid w:val="00CB1B4C"/>
    <w:rsid w:val="00CB2ACD"/>
    <w:rsid w:val="00CB7C6E"/>
    <w:rsid w:val="00CC0491"/>
    <w:rsid w:val="00CC05CB"/>
    <w:rsid w:val="00CC1FAA"/>
    <w:rsid w:val="00CC2FD6"/>
    <w:rsid w:val="00D117C8"/>
    <w:rsid w:val="00D127EF"/>
    <w:rsid w:val="00D14539"/>
    <w:rsid w:val="00D165E8"/>
    <w:rsid w:val="00D16655"/>
    <w:rsid w:val="00D17E09"/>
    <w:rsid w:val="00D2080C"/>
    <w:rsid w:val="00D31961"/>
    <w:rsid w:val="00D35380"/>
    <w:rsid w:val="00D353C2"/>
    <w:rsid w:val="00D36715"/>
    <w:rsid w:val="00D40733"/>
    <w:rsid w:val="00D41616"/>
    <w:rsid w:val="00D42EB9"/>
    <w:rsid w:val="00D4334A"/>
    <w:rsid w:val="00D44B4A"/>
    <w:rsid w:val="00D5484E"/>
    <w:rsid w:val="00D57AFA"/>
    <w:rsid w:val="00D65D10"/>
    <w:rsid w:val="00D67AF0"/>
    <w:rsid w:val="00D70D92"/>
    <w:rsid w:val="00D71480"/>
    <w:rsid w:val="00D8138D"/>
    <w:rsid w:val="00D86BCA"/>
    <w:rsid w:val="00D87B42"/>
    <w:rsid w:val="00DA5199"/>
    <w:rsid w:val="00DC2B0D"/>
    <w:rsid w:val="00DC6B6A"/>
    <w:rsid w:val="00DD6E65"/>
    <w:rsid w:val="00DD7653"/>
    <w:rsid w:val="00DE0A6D"/>
    <w:rsid w:val="00DF0780"/>
    <w:rsid w:val="00E031D8"/>
    <w:rsid w:val="00E070A5"/>
    <w:rsid w:val="00E120D7"/>
    <w:rsid w:val="00E31CF0"/>
    <w:rsid w:val="00E47FDB"/>
    <w:rsid w:val="00E50645"/>
    <w:rsid w:val="00E56588"/>
    <w:rsid w:val="00E625BC"/>
    <w:rsid w:val="00E67D7C"/>
    <w:rsid w:val="00E73191"/>
    <w:rsid w:val="00E7790E"/>
    <w:rsid w:val="00E9130D"/>
    <w:rsid w:val="00E979A9"/>
    <w:rsid w:val="00E97C1B"/>
    <w:rsid w:val="00EA528E"/>
    <w:rsid w:val="00EA62EA"/>
    <w:rsid w:val="00EA72DD"/>
    <w:rsid w:val="00EB0BA8"/>
    <w:rsid w:val="00EC04C9"/>
    <w:rsid w:val="00EC7830"/>
    <w:rsid w:val="00ED3192"/>
    <w:rsid w:val="00EE0612"/>
    <w:rsid w:val="00EE0AE7"/>
    <w:rsid w:val="00EE2887"/>
    <w:rsid w:val="00EE49DE"/>
    <w:rsid w:val="00EE643C"/>
    <w:rsid w:val="00EF3BE6"/>
    <w:rsid w:val="00F052A4"/>
    <w:rsid w:val="00F056CF"/>
    <w:rsid w:val="00F1137B"/>
    <w:rsid w:val="00F16CF1"/>
    <w:rsid w:val="00F17A68"/>
    <w:rsid w:val="00F330E5"/>
    <w:rsid w:val="00F410D7"/>
    <w:rsid w:val="00F4270B"/>
    <w:rsid w:val="00F429C2"/>
    <w:rsid w:val="00F43AED"/>
    <w:rsid w:val="00F4478B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C72FE"/>
    <w:rsid w:val="00FD6280"/>
    <w:rsid w:val="00FE1A71"/>
    <w:rsid w:val="00FE2AA3"/>
    <w:rsid w:val="00FF1C54"/>
    <w:rsid w:val="00FF4D20"/>
    <w:rsid w:val="0262FCB0"/>
    <w:rsid w:val="0F9FFFA8"/>
    <w:rsid w:val="1F767EC6"/>
    <w:rsid w:val="23108A17"/>
    <w:rsid w:val="310E8674"/>
    <w:rsid w:val="40A60995"/>
    <w:rsid w:val="440E55D6"/>
    <w:rsid w:val="444B93BC"/>
    <w:rsid w:val="69CF80C6"/>
    <w:rsid w:val="6B6B5127"/>
    <w:rsid w:val="7B8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45483"/>
  <w15:docId w15:val="{3506785E-912D-4023-A1CF-71BF6034CB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pPrDefault/>
    <w:rPrDefault>
      <w:rPr>
        <w:rFonts w:ascii="Courier" w:hAnsi="Courier" w:cs="Times New Roman" w:eastAsia="Times New Roman"/>
      </w:rPr>
    </w:r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 w:themeColor="accent2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styleId="Soit-1" w:customStyle="1">
    <w:name w:val="Soit -1"/>
    <w:basedOn w:val="Soit"/>
    <w:rsid w:val="00275014"/>
    <w:pPr>
      <w:ind w:left="851"/>
    </w:p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color w:val="008080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</w:rPr>
  </w:style>
  <w:style w:type="paragraph" w:styleId="Note" w:customStyle="1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Standaard"/>
    <w:rsid w:val="00AA766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ormaltextrun" w:customStyle="1">
    <w:name w:val="normaltextrun"/>
    <w:basedOn w:val="Standaardalinea-lettertype"/>
    <w:rsid w:val="00AA7668"/>
  </w:style>
  <w:style w:type="character" w:styleId="eop" w:customStyle="1">
    <w:name w:val="eop"/>
    <w:basedOn w:val="Standaardalinea-lettertype"/>
    <w:rsid w:val="00AA7668"/>
  </w:style>
  <w:style w:type="paragraph" w:styleId="Lijstalinea">
    <w:name w:val="List Paragraph"/>
    <w:basedOn w:val="Standaard"/>
    <w:uiPriority w:val="34"/>
    <w:qFormat/>
    <w:rsid w:val="007C067D"/>
    <w:pPr>
      <w:ind w:left="720"/>
      <w:contextualSpacing/>
    </w:pPr>
  </w:style>
  <w:style w:type="paragraph" w:styleId="P68B1DB1-Standaard2" w:customStyle="1">
    <w:name w:val="P68B1DB1-Standaard2"/>
    <w:basedOn w:val="Standaard"/>
    <w:rsid w:val="00F4478B"/>
    <w:rPr>
      <w:rFonts w:cs="Arial"/>
      <w:color w:val="000000"/>
    </w:rPr>
  </w:style>
  <w:style w:type="paragraph" w:styleId="P68B1DB1-Kop51">
    <w:name w:val="P68B1DB1-Kop51"/>
    <w:basedOn w:val="Kop5"/>
    <w:rPr>
      <w:rFonts w:asciiTheme="minorHAnsi" w:hAnsiTheme="minorHAnsi"/>
    </w:rPr>
  </w:style>
  <w:style w:type="paragraph" w:styleId="P68B1DB1-P68B1DB1-Standaard22">
    <w:name w:val="P68B1DB1-P68B1DB1-Standaard22"/>
    <w:basedOn w:val="P68B1DB1-Standaard2"/>
    <w:rPr>
      <w:vertAlign w:val="subscript"/>
    </w:rPr>
  </w:style>
  <w:style w:type="paragraph" w:styleId="P68B1DB1-Standaard3">
    <w:name w:val="P68B1DB1-Standaard3"/>
    <w:basedOn w:val="Standaard"/>
    <w:rPr>
      <w:color w:val="008080"/>
    </w:rPr>
  </w:style>
  <w:style w:type="paragraph" w:styleId="P68B1DB1-OFWEL4">
    <w:name w:val="P68B1DB1-OFWEL4"/>
    <w:basedOn w:val="OFWEL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49CD9-EC5F-48E8-889E-269C2898B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BE815-361D-462D-8EF1-FC1CC5F65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BD880-41BD-483C-B323-4ED57C14A2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C3A Admin Utilities</dc:title>
  <dc:subject>C3A Administrative Utilities</dc:subject>
  <dc:creator>HJE</dc:creator>
  <dc:description>Version 2008</dc:description>
  <lastModifiedBy>Geert Louwyck</lastModifiedBy>
  <revision>113</revision>
  <lastPrinted>2016-03-22T16:03:00.0000000Z</lastPrinted>
  <dcterms:created xsi:type="dcterms:W3CDTF">2023-12-12T12:27:00.0000000Z</dcterms:created>
  <dcterms:modified xsi:type="dcterms:W3CDTF">2024-02-05T12:26:14.3737048Z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